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B90" w:rsidRDefault="004D4B90" w:rsidP="004D4B90"/>
    <w:tbl>
      <w:tblPr>
        <w:tblpPr w:leftFromText="141" w:rightFromText="141" w:vertAnchor="text" w:horzAnchor="margin" w:tblpY="118"/>
        <w:tblOverlap w:val="neve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1701"/>
        <w:gridCol w:w="1701"/>
        <w:gridCol w:w="1843"/>
        <w:gridCol w:w="1559"/>
        <w:gridCol w:w="1730"/>
      </w:tblGrid>
      <w:tr w:rsidR="004D4B90" w:rsidRPr="00F91D9A" w:rsidTr="004D4B90">
        <w:trPr>
          <w:trHeight w:val="420"/>
        </w:trPr>
        <w:tc>
          <w:tcPr>
            <w:tcW w:w="3652" w:type="dxa"/>
            <w:gridSpan w:val="2"/>
            <w:shd w:val="clear" w:color="auto" w:fill="DEEAF6" w:themeFill="accent1" w:themeFillTint="33"/>
            <w:vAlign w:val="center"/>
          </w:tcPr>
          <w:p w:rsidR="004D4B90" w:rsidRDefault="004D4B90" w:rsidP="004D4B90">
            <w:pPr>
              <w:tabs>
                <w:tab w:val="left" w:pos="773"/>
                <w:tab w:val="center" w:pos="5383"/>
              </w:tabs>
              <w:spacing w:after="120"/>
              <w:jc w:val="center"/>
              <w:rPr>
                <w:rFonts w:ascii="Arial" w:eastAsia="Cambria" w:hAnsi="Arial" w:cs="Arial"/>
                <w:sz w:val="20"/>
              </w:rPr>
            </w:pPr>
            <w:r>
              <w:rPr>
                <w:rFonts w:ascii="Arial" w:eastAsia="Cambria" w:hAnsi="Arial" w:cs="Arial"/>
                <w:sz w:val="20"/>
              </w:rPr>
              <w:t xml:space="preserve">Action nouvelle </w:t>
            </w:r>
          </w:p>
          <w:p w:rsidR="004D4B90" w:rsidRPr="00F91D9A" w:rsidRDefault="004D4B90" w:rsidP="004D4B90">
            <w:pPr>
              <w:tabs>
                <w:tab w:val="left" w:pos="773"/>
                <w:tab w:val="center" w:pos="5383"/>
              </w:tabs>
              <w:spacing w:after="120"/>
              <w:jc w:val="center"/>
              <w:rPr>
                <w:rFonts w:ascii="Arial" w:eastAsia="Cambria" w:hAnsi="Arial" w:cs="Arial"/>
                <w:b/>
                <w:bCs/>
                <w:color w:val="000000"/>
                <w:sz w:val="20"/>
                <w:szCs w:val="20"/>
              </w:rPr>
            </w:pPr>
            <w:r>
              <w:rPr>
                <w:rFonts w:ascii="Arial" w:eastAsia="Cambria" w:hAnsi="Arial" w:cs="Arial"/>
                <w:sz w:val="20"/>
              </w:rPr>
              <w:t>A expérimenter puis pérenniser</w:t>
            </w:r>
          </w:p>
        </w:tc>
        <w:tc>
          <w:tcPr>
            <w:tcW w:w="3544" w:type="dxa"/>
            <w:gridSpan w:val="2"/>
            <w:shd w:val="clear" w:color="auto" w:fill="DEEAF6" w:themeFill="accent1" w:themeFillTint="33"/>
            <w:vAlign w:val="center"/>
          </w:tcPr>
          <w:p w:rsidR="004D4B90" w:rsidRPr="00F91D9A" w:rsidRDefault="004D4B90" w:rsidP="004D4B90">
            <w:pPr>
              <w:tabs>
                <w:tab w:val="left" w:pos="773"/>
                <w:tab w:val="center" w:pos="5383"/>
              </w:tabs>
              <w:spacing w:after="120"/>
              <w:jc w:val="center"/>
              <w:rPr>
                <w:rFonts w:ascii="Arial" w:eastAsia="Cambria" w:hAnsi="Arial" w:cs="Arial"/>
                <w:sz w:val="20"/>
              </w:rPr>
            </w:pPr>
            <w:r w:rsidRPr="00F91D9A">
              <w:rPr>
                <w:rFonts w:ascii="Arial" w:eastAsia="Cambria" w:hAnsi="Arial" w:cs="Arial"/>
                <w:sz w:val="20"/>
              </w:rPr>
              <w:t>Nature de l'action :</w:t>
            </w:r>
          </w:p>
          <w:p w:rsidR="004D4B90" w:rsidRPr="00F91D9A" w:rsidRDefault="004D4B90" w:rsidP="004D4B90">
            <w:pPr>
              <w:tabs>
                <w:tab w:val="left" w:pos="773"/>
                <w:tab w:val="center" w:pos="5383"/>
              </w:tabs>
              <w:spacing w:after="120"/>
              <w:jc w:val="center"/>
              <w:rPr>
                <w:rFonts w:ascii="Arial" w:eastAsia="Cambria" w:hAnsi="Arial" w:cs="Arial"/>
                <w:b/>
                <w:bCs/>
                <w:color w:val="000000"/>
                <w:sz w:val="20"/>
                <w:szCs w:val="20"/>
              </w:rPr>
            </w:pPr>
            <w:r>
              <w:rPr>
                <w:rFonts w:ascii="Arial" w:eastAsia="Cambria" w:hAnsi="Arial" w:cs="Arial"/>
                <w:sz w:val="20"/>
              </w:rPr>
              <w:t>Conseil - Délivrance - Prise en charge-orientation</w:t>
            </w:r>
          </w:p>
        </w:tc>
        <w:tc>
          <w:tcPr>
            <w:tcW w:w="3289" w:type="dxa"/>
            <w:gridSpan w:val="2"/>
            <w:shd w:val="clear" w:color="auto" w:fill="DEEAF6" w:themeFill="accent1" w:themeFillTint="33"/>
            <w:vAlign w:val="center"/>
          </w:tcPr>
          <w:p w:rsidR="004D4B90" w:rsidRPr="00F91D9A" w:rsidRDefault="004D4B90" w:rsidP="004D4B90">
            <w:pPr>
              <w:tabs>
                <w:tab w:val="left" w:pos="773"/>
                <w:tab w:val="center" w:pos="5383"/>
              </w:tabs>
              <w:spacing w:after="120"/>
              <w:jc w:val="center"/>
              <w:rPr>
                <w:rFonts w:ascii="Arial" w:eastAsia="Cambria" w:hAnsi="Arial" w:cs="Arial"/>
                <w:sz w:val="20"/>
              </w:rPr>
            </w:pPr>
            <w:r w:rsidRPr="00F91D9A">
              <w:rPr>
                <w:rFonts w:ascii="Arial" w:eastAsia="Cambria" w:hAnsi="Arial" w:cs="Arial"/>
                <w:sz w:val="20"/>
              </w:rPr>
              <w:t>Priorité de mise en œuvre :</w:t>
            </w:r>
          </w:p>
          <w:p w:rsidR="004D4B90" w:rsidRPr="00F91D9A" w:rsidRDefault="004D4B90" w:rsidP="004D4B90">
            <w:pPr>
              <w:tabs>
                <w:tab w:val="left" w:pos="773"/>
                <w:tab w:val="center" w:pos="5383"/>
              </w:tabs>
              <w:spacing w:after="120"/>
              <w:jc w:val="center"/>
              <w:rPr>
                <w:rFonts w:ascii="Arial" w:eastAsia="Cambria" w:hAnsi="Arial" w:cs="Arial"/>
                <w:b/>
                <w:bCs/>
                <w:color w:val="000000"/>
                <w:sz w:val="20"/>
                <w:szCs w:val="20"/>
              </w:rPr>
            </w:pPr>
            <w:r w:rsidRPr="00F91D9A">
              <w:rPr>
                <w:rFonts w:ascii="Arial" w:eastAsia="Cambria" w:hAnsi="Arial" w:cs="Arial"/>
                <w:sz w:val="20"/>
              </w:rPr>
              <w:t>Année 2014</w:t>
            </w:r>
          </w:p>
        </w:tc>
      </w:tr>
      <w:tr w:rsidR="004D4B90" w:rsidRPr="00F91D9A" w:rsidTr="004D4B90">
        <w:trPr>
          <w:trHeight w:val="1316"/>
        </w:trPr>
        <w:tc>
          <w:tcPr>
            <w:tcW w:w="1951" w:type="dxa"/>
            <w:shd w:val="clear" w:color="auto" w:fill="auto"/>
            <w:vAlign w:val="center"/>
          </w:tcPr>
          <w:p w:rsidR="004D4B90" w:rsidRDefault="004D4B90" w:rsidP="004D4B90">
            <w:pPr>
              <w:tabs>
                <w:tab w:val="left" w:pos="773"/>
                <w:tab w:val="center" w:pos="5383"/>
              </w:tabs>
              <w:spacing w:after="120"/>
              <w:jc w:val="center"/>
              <w:rPr>
                <w:rFonts w:ascii="Arial" w:eastAsia="Cambria" w:hAnsi="Arial" w:cs="Arial"/>
                <w:sz w:val="20"/>
                <w:szCs w:val="20"/>
              </w:rPr>
            </w:pPr>
            <w:r w:rsidRPr="00F91D9A">
              <w:rPr>
                <w:rFonts w:ascii="Arial" w:eastAsia="Cambria" w:hAnsi="Arial" w:cs="Arial"/>
                <w:b/>
                <w:bCs/>
                <w:color w:val="000000"/>
                <w:sz w:val="20"/>
                <w:szCs w:val="20"/>
              </w:rPr>
              <w:t>Public visé par l’action</w:t>
            </w:r>
            <w:r>
              <w:rPr>
                <w:rFonts w:ascii="Arial" w:eastAsia="Cambria" w:hAnsi="Arial" w:cs="Arial"/>
                <w:b/>
                <w:bCs/>
                <w:color w:val="000000"/>
                <w:sz w:val="20"/>
                <w:szCs w:val="20"/>
              </w:rPr>
              <w:t xml:space="preserve"> : </w:t>
            </w:r>
            <w:r w:rsidRPr="00F91D9A">
              <w:rPr>
                <w:rFonts w:ascii="Arial" w:eastAsia="Cambria" w:hAnsi="Arial" w:cs="Arial"/>
                <w:sz w:val="20"/>
                <w:szCs w:val="20"/>
              </w:rPr>
              <w:t xml:space="preserve"> </w:t>
            </w:r>
          </w:p>
          <w:p w:rsidR="004D4B90" w:rsidRPr="00F91D9A" w:rsidRDefault="004D4B90" w:rsidP="004D4B90">
            <w:pPr>
              <w:tabs>
                <w:tab w:val="left" w:pos="773"/>
                <w:tab w:val="center" w:pos="5383"/>
              </w:tabs>
              <w:spacing w:after="120"/>
              <w:jc w:val="center"/>
              <w:rPr>
                <w:rFonts w:ascii="Arial" w:eastAsia="Cambria" w:hAnsi="Arial" w:cs="Arial"/>
                <w:b/>
                <w:bCs/>
                <w:color w:val="000000"/>
                <w:sz w:val="20"/>
                <w:szCs w:val="20"/>
              </w:rPr>
            </w:pPr>
            <w:r w:rsidRPr="00F91D9A">
              <w:rPr>
                <w:rFonts w:ascii="Arial" w:eastAsia="Cambria" w:hAnsi="Arial" w:cs="Arial"/>
                <w:sz w:val="20"/>
                <w:szCs w:val="20"/>
              </w:rPr>
              <w:t>Les phar</w:t>
            </w:r>
            <w:r>
              <w:rPr>
                <w:rFonts w:ascii="Arial" w:eastAsia="Cambria" w:hAnsi="Arial" w:cs="Arial"/>
                <w:sz w:val="20"/>
                <w:szCs w:val="20"/>
              </w:rPr>
              <w:t>maciens installés sur l’île de L</w:t>
            </w:r>
            <w:r w:rsidRPr="00F91D9A">
              <w:rPr>
                <w:rFonts w:ascii="Arial" w:eastAsia="Cambria" w:hAnsi="Arial" w:cs="Arial"/>
                <w:sz w:val="20"/>
                <w:szCs w:val="20"/>
              </w:rPr>
              <w:t>a Réunion</w:t>
            </w:r>
          </w:p>
        </w:tc>
        <w:tc>
          <w:tcPr>
            <w:tcW w:w="1701" w:type="dxa"/>
            <w:shd w:val="clear" w:color="auto" w:fill="auto"/>
            <w:vAlign w:val="center"/>
          </w:tcPr>
          <w:p w:rsidR="004D4B90" w:rsidRDefault="004D4B90" w:rsidP="004D4B90">
            <w:pPr>
              <w:tabs>
                <w:tab w:val="left" w:pos="773"/>
                <w:tab w:val="center" w:pos="5383"/>
              </w:tabs>
              <w:spacing w:after="120"/>
              <w:jc w:val="center"/>
              <w:rPr>
                <w:rFonts w:ascii="Arial" w:eastAsia="Cambria" w:hAnsi="Arial" w:cs="Arial"/>
                <w:b/>
                <w:bCs/>
                <w:color w:val="000000"/>
                <w:sz w:val="20"/>
                <w:szCs w:val="20"/>
              </w:rPr>
            </w:pPr>
            <w:r w:rsidRPr="00F91D9A">
              <w:rPr>
                <w:rFonts w:ascii="Arial" w:eastAsia="Cambria" w:hAnsi="Arial" w:cs="Arial"/>
                <w:b/>
                <w:bCs/>
                <w:color w:val="000000"/>
                <w:sz w:val="20"/>
                <w:szCs w:val="20"/>
              </w:rPr>
              <w:t>Nombre de bénéficiaires</w:t>
            </w:r>
            <w:r>
              <w:rPr>
                <w:rFonts w:ascii="Arial" w:eastAsia="Cambria" w:hAnsi="Arial" w:cs="Arial"/>
                <w:b/>
                <w:bCs/>
                <w:color w:val="000000"/>
                <w:sz w:val="20"/>
                <w:szCs w:val="20"/>
              </w:rPr>
              <w:t> :</w:t>
            </w:r>
          </w:p>
          <w:p w:rsidR="004D4B90" w:rsidRPr="00F91D9A" w:rsidRDefault="004D4B90" w:rsidP="004D4B90">
            <w:pPr>
              <w:tabs>
                <w:tab w:val="left" w:pos="773"/>
                <w:tab w:val="center" w:pos="5383"/>
              </w:tabs>
              <w:spacing w:after="120"/>
              <w:jc w:val="center"/>
              <w:rPr>
                <w:rFonts w:ascii="Arial" w:eastAsia="Cambria" w:hAnsi="Arial" w:cs="Arial"/>
                <w:b/>
                <w:bCs/>
                <w:color w:val="000000"/>
                <w:sz w:val="20"/>
                <w:szCs w:val="20"/>
              </w:rPr>
            </w:pPr>
            <w:r w:rsidRPr="00F91D9A">
              <w:rPr>
                <w:rFonts w:ascii="Arial" w:eastAsia="Cambria" w:hAnsi="Arial" w:cs="Arial"/>
                <w:sz w:val="20"/>
                <w:szCs w:val="20"/>
              </w:rPr>
              <w:t>Toutes les officines volontaires</w:t>
            </w:r>
          </w:p>
        </w:tc>
        <w:tc>
          <w:tcPr>
            <w:tcW w:w="1701" w:type="dxa"/>
            <w:shd w:val="clear" w:color="auto" w:fill="auto"/>
            <w:vAlign w:val="center"/>
          </w:tcPr>
          <w:p w:rsidR="004D4B90" w:rsidRDefault="004D4B90" w:rsidP="004D4B90">
            <w:pPr>
              <w:tabs>
                <w:tab w:val="left" w:pos="773"/>
                <w:tab w:val="center" w:pos="5383"/>
              </w:tabs>
              <w:spacing w:after="120"/>
              <w:jc w:val="center"/>
              <w:rPr>
                <w:rFonts w:ascii="Arial" w:eastAsia="Cambria" w:hAnsi="Arial" w:cs="Arial"/>
                <w:b/>
                <w:bCs/>
                <w:color w:val="000000"/>
                <w:sz w:val="20"/>
                <w:szCs w:val="20"/>
              </w:rPr>
            </w:pPr>
            <w:r w:rsidRPr="00F91D9A">
              <w:rPr>
                <w:rFonts w:ascii="Arial" w:eastAsia="Cambria" w:hAnsi="Arial" w:cs="Arial"/>
                <w:b/>
                <w:bCs/>
                <w:color w:val="000000"/>
                <w:sz w:val="20"/>
                <w:szCs w:val="20"/>
              </w:rPr>
              <w:t>Durée</w:t>
            </w:r>
            <w:r>
              <w:rPr>
                <w:rFonts w:ascii="Arial" w:eastAsia="Cambria" w:hAnsi="Arial" w:cs="Arial"/>
                <w:b/>
                <w:bCs/>
                <w:color w:val="000000"/>
                <w:sz w:val="20"/>
                <w:szCs w:val="20"/>
              </w:rPr>
              <w:t> :</w:t>
            </w:r>
          </w:p>
          <w:p w:rsidR="004D4B90" w:rsidRPr="00F91D9A" w:rsidRDefault="004D4B90" w:rsidP="004D4B90">
            <w:pPr>
              <w:tabs>
                <w:tab w:val="left" w:pos="773"/>
                <w:tab w:val="center" w:pos="5383"/>
              </w:tabs>
              <w:spacing w:after="120"/>
              <w:jc w:val="center"/>
              <w:rPr>
                <w:rFonts w:ascii="Arial" w:eastAsia="Cambria" w:hAnsi="Arial" w:cs="Arial"/>
                <w:b/>
                <w:bCs/>
                <w:color w:val="000000"/>
                <w:sz w:val="20"/>
                <w:szCs w:val="20"/>
              </w:rPr>
            </w:pPr>
            <w:r w:rsidRPr="00F91D9A">
              <w:rPr>
                <w:rFonts w:ascii="Arial" w:eastAsia="Cambria" w:hAnsi="Arial" w:cs="Arial"/>
                <w:sz w:val="20"/>
                <w:szCs w:val="20"/>
              </w:rPr>
              <w:t>Année 2014 et 2015</w:t>
            </w:r>
          </w:p>
        </w:tc>
        <w:tc>
          <w:tcPr>
            <w:tcW w:w="1843" w:type="dxa"/>
            <w:shd w:val="clear" w:color="auto" w:fill="auto"/>
            <w:vAlign w:val="center"/>
          </w:tcPr>
          <w:p w:rsidR="004D4B90" w:rsidRDefault="004D4B90" w:rsidP="004D4B90">
            <w:pPr>
              <w:tabs>
                <w:tab w:val="left" w:pos="773"/>
                <w:tab w:val="center" w:pos="5383"/>
              </w:tabs>
              <w:spacing w:after="120"/>
              <w:jc w:val="center"/>
              <w:rPr>
                <w:rFonts w:ascii="Arial" w:eastAsia="Cambria" w:hAnsi="Arial" w:cs="Arial"/>
                <w:b/>
                <w:bCs/>
                <w:color w:val="000000"/>
                <w:sz w:val="20"/>
                <w:szCs w:val="20"/>
              </w:rPr>
            </w:pPr>
            <w:r w:rsidRPr="00F91D9A">
              <w:rPr>
                <w:rFonts w:ascii="Arial" w:eastAsia="Cambria" w:hAnsi="Arial" w:cs="Arial"/>
                <w:b/>
                <w:bCs/>
                <w:color w:val="000000"/>
                <w:sz w:val="20"/>
                <w:szCs w:val="20"/>
              </w:rPr>
              <w:t>Fréquence</w:t>
            </w:r>
            <w:r>
              <w:rPr>
                <w:rFonts w:ascii="Arial" w:eastAsia="Cambria" w:hAnsi="Arial" w:cs="Arial"/>
                <w:b/>
                <w:bCs/>
                <w:color w:val="000000"/>
                <w:sz w:val="20"/>
                <w:szCs w:val="20"/>
              </w:rPr>
              <w:t> :</w:t>
            </w:r>
          </w:p>
          <w:p w:rsidR="004D4B90" w:rsidRPr="00F91D9A" w:rsidRDefault="004D4B90" w:rsidP="004D4B90">
            <w:pPr>
              <w:tabs>
                <w:tab w:val="left" w:pos="773"/>
                <w:tab w:val="center" w:pos="5383"/>
              </w:tabs>
              <w:spacing w:after="120"/>
              <w:jc w:val="center"/>
              <w:rPr>
                <w:rFonts w:ascii="Arial" w:eastAsia="Cambria" w:hAnsi="Arial" w:cs="Arial"/>
                <w:b/>
                <w:bCs/>
                <w:color w:val="000000"/>
                <w:sz w:val="20"/>
                <w:szCs w:val="20"/>
              </w:rPr>
            </w:pPr>
            <w:r w:rsidRPr="00F91D9A">
              <w:rPr>
                <w:rFonts w:ascii="Arial" w:eastAsia="Cambria" w:hAnsi="Arial" w:cs="Arial"/>
                <w:color w:val="000000"/>
                <w:sz w:val="20"/>
                <w:szCs w:val="20"/>
              </w:rPr>
              <w:t>Expérimentation au quotidien</w:t>
            </w:r>
          </w:p>
        </w:tc>
        <w:tc>
          <w:tcPr>
            <w:tcW w:w="1559" w:type="dxa"/>
            <w:shd w:val="clear" w:color="auto" w:fill="auto"/>
            <w:vAlign w:val="center"/>
          </w:tcPr>
          <w:p w:rsidR="004D4B90" w:rsidRDefault="004D4B90" w:rsidP="004D4B90">
            <w:pPr>
              <w:tabs>
                <w:tab w:val="left" w:pos="773"/>
                <w:tab w:val="center" w:pos="5383"/>
              </w:tabs>
              <w:spacing w:after="120"/>
              <w:jc w:val="center"/>
              <w:rPr>
                <w:rFonts w:ascii="Arial" w:eastAsia="Cambria" w:hAnsi="Arial" w:cs="Arial"/>
                <w:b/>
                <w:bCs/>
                <w:color w:val="000000"/>
                <w:sz w:val="20"/>
                <w:szCs w:val="20"/>
              </w:rPr>
            </w:pPr>
            <w:r w:rsidRPr="00F91D9A">
              <w:rPr>
                <w:rFonts w:ascii="Arial" w:eastAsia="Cambria" w:hAnsi="Arial" w:cs="Arial"/>
                <w:b/>
                <w:bCs/>
                <w:color w:val="000000"/>
                <w:sz w:val="20"/>
                <w:szCs w:val="20"/>
              </w:rPr>
              <w:t>Territoire couvert</w:t>
            </w:r>
            <w:r>
              <w:rPr>
                <w:rFonts w:ascii="Arial" w:eastAsia="Cambria" w:hAnsi="Arial" w:cs="Arial"/>
                <w:b/>
                <w:bCs/>
                <w:color w:val="000000"/>
                <w:sz w:val="20"/>
                <w:szCs w:val="20"/>
              </w:rPr>
              <w:t> :</w:t>
            </w:r>
          </w:p>
          <w:p w:rsidR="004D4B90" w:rsidRPr="00F91D9A" w:rsidRDefault="004D4B90" w:rsidP="004D4B90">
            <w:pPr>
              <w:tabs>
                <w:tab w:val="left" w:pos="773"/>
                <w:tab w:val="center" w:pos="5383"/>
              </w:tabs>
              <w:spacing w:after="120"/>
              <w:jc w:val="center"/>
              <w:rPr>
                <w:rFonts w:ascii="Arial" w:eastAsia="Cambria" w:hAnsi="Arial" w:cs="Arial"/>
                <w:b/>
                <w:bCs/>
                <w:color w:val="000000"/>
                <w:sz w:val="20"/>
                <w:szCs w:val="20"/>
              </w:rPr>
            </w:pPr>
            <w:r w:rsidRPr="00F91D9A">
              <w:rPr>
                <w:rFonts w:ascii="Arial" w:eastAsia="Cambria" w:hAnsi="Arial" w:cs="Arial"/>
                <w:color w:val="000000"/>
                <w:sz w:val="20"/>
                <w:szCs w:val="20"/>
              </w:rPr>
              <w:t>La Réunion</w:t>
            </w:r>
          </w:p>
        </w:tc>
        <w:tc>
          <w:tcPr>
            <w:tcW w:w="1730" w:type="dxa"/>
            <w:shd w:val="clear" w:color="auto" w:fill="auto"/>
            <w:vAlign w:val="center"/>
          </w:tcPr>
          <w:p w:rsidR="004D4B90" w:rsidRPr="00F91D9A" w:rsidRDefault="004D4B90" w:rsidP="004D4B90">
            <w:pPr>
              <w:tabs>
                <w:tab w:val="left" w:pos="773"/>
                <w:tab w:val="center" w:pos="5383"/>
              </w:tabs>
              <w:spacing w:after="120"/>
              <w:jc w:val="center"/>
              <w:rPr>
                <w:rFonts w:ascii="Arial" w:eastAsia="Cambria" w:hAnsi="Arial" w:cs="Arial"/>
                <w:b/>
                <w:bCs/>
                <w:color w:val="000000"/>
                <w:sz w:val="20"/>
                <w:szCs w:val="20"/>
              </w:rPr>
            </w:pPr>
            <w:r w:rsidRPr="00F91D9A">
              <w:rPr>
                <w:rFonts w:ascii="Arial" w:eastAsia="Cambria" w:hAnsi="Arial" w:cs="Arial"/>
                <w:b/>
                <w:bCs/>
                <w:color w:val="000000"/>
                <w:sz w:val="20"/>
                <w:szCs w:val="20"/>
              </w:rPr>
              <w:t>Financeurs</w:t>
            </w:r>
          </w:p>
          <w:p w:rsidR="004D4B90" w:rsidRPr="00F91D9A" w:rsidRDefault="004D4B90" w:rsidP="004D4B90">
            <w:pPr>
              <w:tabs>
                <w:tab w:val="left" w:pos="773"/>
                <w:tab w:val="center" w:pos="5383"/>
              </w:tabs>
              <w:spacing w:after="120"/>
              <w:jc w:val="center"/>
              <w:rPr>
                <w:rFonts w:ascii="Arial" w:eastAsia="Cambria" w:hAnsi="Arial" w:cs="Arial"/>
                <w:color w:val="000000"/>
                <w:sz w:val="20"/>
                <w:szCs w:val="20"/>
              </w:rPr>
            </w:pPr>
            <w:r w:rsidRPr="00F91D9A">
              <w:rPr>
                <w:rFonts w:ascii="Arial" w:eastAsia="Cambria" w:hAnsi="Arial" w:cs="Arial"/>
                <w:color w:val="000000"/>
                <w:sz w:val="20"/>
                <w:szCs w:val="20"/>
              </w:rPr>
              <w:t>URPS-ARS</w:t>
            </w:r>
            <w:r>
              <w:rPr>
                <w:rFonts w:ascii="Arial" w:eastAsia="Cambria" w:hAnsi="Arial" w:cs="Arial"/>
                <w:color w:val="000000"/>
                <w:sz w:val="20"/>
                <w:szCs w:val="20"/>
              </w:rPr>
              <w:t xml:space="preserve"> OI </w:t>
            </w:r>
            <w:r w:rsidRPr="00F91D9A">
              <w:rPr>
                <w:rFonts w:ascii="Arial" w:eastAsia="Cambria" w:hAnsi="Arial" w:cs="Arial"/>
                <w:color w:val="000000"/>
                <w:sz w:val="20"/>
                <w:szCs w:val="20"/>
              </w:rPr>
              <w:t>-autres</w:t>
            </w:r>
          </w:p>
        </w:tc>
      </w:tr>
      <w:tr w:rsidR="004D4B90" w:rsidRPr="00F91D9A" w:rsidTr="004D4B90">
        <w:trPr>
          <w:trHeight w:val="420"/>
        </w:trPr>
        <w:tc>
          <w:tcPr>
            <w:tcW w:w="10485" w:type="dxa"/>
            <w:gridSpan w:val="6"/>
            <w:shd w:val="clear" w:color="auto" w:fill="auto"/>
            <w:vAlign w:val="center"/>
          </w:tcPr>
          <w:p w:rsidR="004D4B90" w:rsidRDefault="004D4B90" w:rsidP="004D4B90">
            <w:pPr>
              <w:spacing w:before="120" w:after="120"/>
              <w:jc w:val="center"/>
              <w:rPr>
                <w:rFonts w:ascii="Arial" w:hAnsi="Arial" w:cs="Arial"/>
                <w:b/>
                <w:iCs/>
                <w:color w:val="222222"/>
                <w:sz w:val="20"/>
                <w:szCs w:val="20"/>
              </w:rPr>
            </w:pPr>
            <w:r>
              <w:rPr>
                <w:rFonts w:ascii="Arial" w:hAnsi="Arial" w:cs="Arial"/>
                <w:b/>
                <w:color w:val="00BFBA"/>
              </w:rPr>
              <w:t xml:space="preserve">NOTE d’OPPORTUNITE </w:t>
            </w:r>
            <w:r w:rsidRPr="00F51173">
              <w:rPr>
                <w:rFonts w:ascii="Arial" w:hAnsi="Arial" w:cs="Arial"/>
                <w:b/>
                <w:color w:val="00BFBA"/>
              </w:rPr>
              <w:t xml:space="preserve">/ </w:t>
            </w:r>
            <w:r>
              <w:rPr>
                <w:rFonts w:ascii="Arial" w:hAnsi="Arial" w:cs="Arial"/>
                <w:b/>
                <w:color w:val="00BFBA"/>
              </w:rPr>
              <w:t>CONSTATS</w:t>
            </w:r>
            <w:r w:rsidRPr="00E53830">
              <w:rPr>
                <w:rFonts w:ascii="Arial" w:hAnsi="Arial" w:cs="Arial"/>
                <w:b/>
                <w:color w:val="00BFBA"/>
              </w:rPr>
              <w:t xml:space="preserve"> DE DEPART</w:t>
            </w:r>
          </w:p>
          <w:p w:rsidR="004D4B90" w:rsidRDefault="004D4B90" w:rsidP="004D4B90">
            <w:pPr>
              <w:spacing w:before="120" w:after="120"/>
              <w:jc w:val="center"/>
              <w:rPr>
                <w:rFonts w:ascii="Arial" w:hAnsi="Arial" w:cs="Arial"/>
                <w:b/>
                <w:iCs/>
                <w:color w:val="222222"/>
                <w:sz w:val="20"/>
                <w:szCs w:val="20"/>
              </w:rPr>
            </w:pPr>
            <w:r w:rsidRPr="00865134">
              <w:rPr>
                <w:rFonts w:ascii="Arial" w:hAnsi="Arial" w:cs="Arial"/>
                <w:b/>
                <w:iCs/>
                <w:color w:val="222222"/>
                <w:sz w:val="20"/>
                <w:szCs w:val="20"/>
              </w:rPr>
              <w:t xml:space="preserve">Pharmacien </w:t>
            </w:r>
            <w:r>
              <w:rPr>
                <w:rFonts w:ascii="Arial" w:hAnsi="Arial" w:cs="Arial"/>
                <w:b/>
                <w:iCs/>
                <w:color w:val="222222"/>
                <w:sz w:val="20"/>
                <w:szCs w:val="20"/>
              </w:rPr>
              <w:t xml:space="preserve">d’officine </w:t>
            </w:r>
            <w:r w:rsidRPr="00865134">
              <w:rPr>
                <w:rFonts w:ascii="Arial" w:hAnsi="Arial" w:cs="Arial"/>
                <w:b/>
                <w:iCs/>
                <w:color w:val="222222"/>
                <w:sz w:val="20"/>
                <w:szCs w:val="20"/>
              </w:rPr>
              <w:t>régulièrement confronté aux conséquences du tabagisme à l’officine mais peu sollicité pour un rôle de conseil et de souti</w:t>
            </w:r>
            <w:r>
              <w:rPr>
                <w:rFonts w:ascii="Arial" w:hAnsi="Arial" w:cs="Arial"/>
                <w:b/>
                <w:iCs/>
                <w:color w:val="222222"/>
                <w:sz w:val="20"/>
                <w:szCs w:val="20"/>
              </w:rPr>
              <w:t>en dans un processus de sevrage, pourtant :</w:t>
            </w:r>
          </w:p>
          <w:p w:rsidR="004D4B90" w:rsidRPr="00865134" w:rsidRDefault="004D4B90" w:rsidP="004D4B90">
            <w:pPr>
              <w:spacing w:after="120"/>
              <w:rPr>
                <w:rFonts w:ascii="Arial" w:hAnsi="Arial" w:cs="Arial"/>
                <w:b/>
                <w:iCs/>
                <w:color w:val="222222"/>
                <w:sz w:val="20"/>
                <w:szCs w:val="20"/>
              </w:rPr>
            </w:pPr>
            <w:r>
              <w:rPr>
                <w:rFonts w:ascii="Arial" w:hAnsi="Arial" w:cs="Arial"/>
                <w:b/>
                <w:iCs/>
                <w:color w:val="222222"/>
                <w:sz w:val="20"/>
                <w:szCs w:val="20"/>
              </w:rPr>
              <w:t>Atouts :</w:t>
            </w:r>
          </w:p>
          <w:p w:rsidR="004D4B90" w:rsidRPr="00C36979" w:rsidRDefault="004D4B90" w:rsidP="004D4B90">
            <w:pPr>
              <w:numPr>
                <w:ilvl w:val="0"/>
                <w:numId w:val="1"/>
              </w:numPr>
              <w:spacing w:after="120"/>
              <w:jc w:val="both"/>
              <w:rPr>
                <w:rFonts w:ascii="Arial" w:hAnsi="Arial" w:cs="Arial"/>
                <w:iCs/>
                <w:color w:val="222222"/>
                <w:sz w:val="20"/>
                <w:szCs w:val="20"/>
              </w:rPr>
            </w:pPr>
            <w:r>
              <w:rPr>
                <w:rFonts w:ascii="Arial" w:hAnsi="Arial" w:cs="Arial"/>
                <w:iCs/>
                <w:color w:val="222222"/>
                <w:sz w:val="20"/>
                <w:szCs w:val="20"/>
              </w:rPr>
              <w:t xml:space="preserve">Pharmacien = </w:t>
            </w:r>
            <w:r w:rsidRPr="00C36979">
              <w:rPr>
                <w:rFonts w:ascii="Arial" w:hAnsi="Arial" w:cs="Arial"/>
                <w:iCs/>
                <w:color w:val="222222"/>
                <w:sz w:val="20"/>
                <w:szCs w:val="20"/>
              </w:rPr>
              <w:t xml:space="preserve">connaît parfaitement les traitements </w:t>
            </w:r>
            <w:r>
              <w:rPr>
                <w:rFonts w:ascii="Arial" w:hAnsi="Arial" w:cs="Arial"/>
                <w:iCs/>
                <w:color w:val="222222"/>
                <w:sz w:val="20"/>
                <w:szCs w:val="20"/>
              </w:rPr>
              <w:t>de substitution nicotinique ;</w:t>
            </w:r>
          </w:p>
          <w:p w:rsidR="004D4B90" w:rsidRPr="00647DA0" w:rsidRDefault="004D4B90" w:rsidP="004D4B90">
            <w:pPr>
              <w:numPr>
                <w:ilvl w:val="0"/>
                <w:numId w:val="1"/>
              </w:numPr>
              <w:spacing w:after="120"/>
              <w:jc w:val="both"/>
              <w:rPr>
                <w:rFonts w:ascii="Arial" w:hAnsi="Arial" w:cs="Arial"/>
                <w:iCs/>
                <w:color w:val="222222"/>
                <w:sz w:val="20"/>
                <w:szCs w:val="20"/>
              </w:rPr>
            </w:pPr>
            <w:r>
              <w:rPr>
                <w:rFonts w:ascii="Arial" w:hAnsi="Arial" w:cs="Arial"/>
                <w:iCs/>
                <w:color w:val="222222"/>
                <w:sz w:val="20"/>
                <w:szCs w:val="20"/>
              </w:rPr>
              <w:t>Pharmacie =</w:t>
            </w:r>
            <w:r w:rsidRPr="005E6AE0">
              <w:rPr>
                <w:rFonts w:ascii="Arial" w:hAnsi="Arial" w:cs="Arial"/>
                <w:iCs/>
                <w:color w:val="222222"/>
                <w:sz w:val="20"/>
                <w:szCs w:val="20"/>
              </w:rPr>
              <w:t xml:space="preserve"> passage obligé pour l’achat de substitut nicotinique</w:t>
            </w:r>
            <w:r>
              <w:rPr>
                <w:rFonts w:ascii="Arial" w:hAnsi="Arial" w:cs="Arial"/>
                <w:iCs/>
                <w:color w:val="222222"/>
                <w:sz w:val="20"/>
                <w:szCs w:val="20"/>
              </w:rPr>
              <w:t xml:space="preserve">, </w:t>
            </w:r>
            <w:r w:rsidRPr="00647DA0">
              <w:rPr>
                <w:rFonts w:ascii="Arial" w:hAnsi="Arial" w:cs="Arial"/>
                <w:iCs/>
                <w:color w:val="222222"/>
                <w:sz w:val="20"/>
                <w:szCs w:val="20"/>
              </w:rPr>
              <w:t>bénéficie d’une situation privilégiée pour faire passer des messages d’éducation pour la santé, auprès des familles qui viennent à l’officine demander conseil ou chercher des traitements médicamenteux</w:t>
            </w:r>
            <w:r>
              <w:rPr>
                <w:rFonts w:ascii="Arial" w:hAnsi="Arial" w:cs="Arial"/>
                <w:iCs/>
                <w:color w:val="222222"/>
                <w:sz w:val="20"/>
                <w:szCs w:val="20"/>
              </w:rPr>
              <w:t> ;</w:t>
            </w:r>
          </w:p>
          <w:p w:rsidR="004D4B90" w:rsidRPr="005E6AE0" w:rsidRDefault="004D4B90" w:rsidP="004D4B90">
            <w:pPr>
              <w:numPr>
                <w:ilvl w:val="0"/>
                <w:numId w:val="1"/>
              </w:numPr>
              <w:spacing w:after="120"/>
              <w:jc w:val="both"/>
              <w:rPr>
                <w:rFonts w:ascii="Arial" w:hAnsi="Arial" w:cs="Arial"/>
                <w:iCs/>
                <w:color w:val="222222"/>
                <w:sz w:val="20"/>
                <w:szCs w:val="20"/>
              </w:rPr>
            </w:pPr>
            <w:r>
              <w:rPr>
                <w:rFonts w:ascii="Arial" w:hAnsi="Arial" w:cs="Arial"/>
                <w:iCs/>
                <w:color w:val="222222"/>
                <w:sz w:val="20"/>
                <w:szCs w:val="20"/>
              </w:rPr>
              <w:t xml:space="preserve">Pharmacien = </w:t>
            </w:r>
            <w:r w:rsidRPr="005E6AE0">
              <w:rPr>
                <w:rFonts w:ascii="Arial" w:hAnsi="Arial" w:cs="Arial"/>
                <w:iCs/>
                <w:color w:val="222222"/>
                <w:sz w:val="20"/>
                <w:szCs w:val="20"/>
              </w:rPr>
              <w:t>présent au quotidien</w:t>
            </w:r>
            <w:r>
              <w:rPr>
                <w:rFonts w:ascii="Arial" w:hAnsi="Arial" w:cs="Arial"/>
                <w:iCs/>
                <w:color w:val="222222"/>
                <w:sz w:val="20"/>
                <w:szCs w:val="20"/>
              </w:rPr>
              <w:t xml:space="preserve">, </w:t>
            </w:r>
            <w:r w:rsidRPr="005E6AE0">
              <w:rPr>
                <w:rFonts w:ascii="Arial" w:hAnsi="Arial" w:cs="Arial"/>
                <w:iCs/>
                <w:color w:val="222222"/>
                <w:sz w:val="20"/>
                <w:szCs w:val="20"/>
              </w:rPr>
              <w:t>répon</w:t>
            </w:r>
            <w:r>
              <w:rPr>
                <w:rFonts w:ascii="Arial" w:hAnsi="Arial" w:cs="Arial"/>
                <w:iCs/>
                <w:color w:val="222222"/>
                <w:sz w:val="20"/>
                <w:szCs w:val="20"/>
              </w:rPr>
              <w:t>se</w:t>
            </w:r>
            <w:r w:rsidRPr="005E6AE0">
              <w:rPr>
                <w:rFonts w:ascii="Arial" w:hAnsi="Arial" w:cs="Arial"/>
                <w:iCs/>
                <w:color w:val="222222"/>
                <w:sz w:val="20"/>
                <w:szCs w:val="20"/>
              </w:rPr>
              <w:t xml:space="preserve"> aux besoins individuels d’accompagnement des fu</w:t>
            </w:r>
            <w:r>
              <w:rPr>
                <w:rFonts w:ascii="Arial" w:hAnsi="Arial" w:cs="Arial"/>
                <w:iCs/>
                <w:color w:val="222222"/>
                <w:sz w:val="20"/>
                <w:szCs w:val="20"/>
              </w:rPr>
              <w:t xml:space="preserve">meurs, </w:t>
            </w:r>
            <w:r w:rsidRPr="005E6AE0">
              <w:rPr>
                <w:rFonts w:ascii="Arial" w:hAnsi="Arial" w:cs="Arial"/>
                <w:iCs/>
                <w:color w:val="222222"/>
                <w:sz w:val="20"/>
                <w:szCs w:val="20"/>
              </w:rPr>
              <w:t xml:space="preserve"> accès grand public, localisation, </w:t>
            </w:r>
            <w:r>
              <w:rPr>
                <w:rFonts w:ascii="Arial" w:hAnsi="Arial" w:cs="Arial"/>
                <w:iCs/>
                <w:color w:val="222222"/>
                <w:sz w:val="20"/>
                <w:szCs w:val="20"/>
              </w:rPr>
              <w:t>plage horaire d’</w:t>
            </w:r>
            <w:r w:rsidRPr="005E6AE0">
              <w:rPr>
                <w:rFonts w:ascii="Arial" w:hAnsi="Arial" w:cs="Arial"/>
                <w:iCs/>
                <w:color w:val="222222"/>
                <w:sz w:val="20"/>
                <w:szCs w:val="20"/>
              </w:rPr>
              <w:t>ouverture, prof</w:t>
            </w:r>
            <w:r>
              <w:rPr>
                <w:rFonts w:ascii="Arial" w:hAnsi="Arial" w:cs="Arial"/>
                <w:iCs/>
                <w:color w:val="222222"/>
                <w:sz w:val="20"/>
                <w:szCs w:val="20"/>
              </w:rPr>
              <w:t>essionnels qualifiés, disponibles et de proximité ;</w:t>
            </w:r>
          </w:p>
          <w:p w:rsidR="004D4B90" w:rsidRDefault="004D4B90" w:rsidP="004D4B90">
            <w:pPr>
              <w:numPr>
                <w:ilvl w:val="0"/>
                <w:numId w:val="1"/>
              </w:numPr>
              <w:spacing w:after="120"/>
              <w:jc w:val="both"/>
              <w:rPr>
                <w:rFonts w:ascii="Arial" w:hAnsi="Arial" w:cs="Arial"/>
                <w:iCs/>
                <w:color w:val="222222"/>
                <w:sz w:val="20"/>
                <w:szCs w:val="20"/>
              </w:rPr>
            </w:pPr>
            <w:r>
              <w:rPr>
                <w:rFonts w:ascii="Arial" w:hAnsi="Arial" w:cs="Arial"/>
                <w:iCs/>
                <w:color w:val="222222"/>
                <w:sz w:val="20"/>
                <w:szCs w:val="20"/>
              </w:rPr>
              <w:t>C</w:t>
            </w:r>
            <w:r w:rsidRPr="00865134">
              <w:rPr>
                <w:rFonts w:ascii="Arial" w:hAnsi="Arial" w:cs="Arial"/>
                <w:iCs/>
                <w:color w:val="222222"/>
                <w:sz w:val="20"/>
                <w:szCs w:val="20"/>
              </w:rPr>
              <w:t xml:space="preserve">ompétences </w:t>
            </w:r>
            <w:r>
              <w:rPr>
                <w:rFonts w:ascii="Arial" w:hAnsi="Arial" w:cs="Arial"/>
                <w:iCs/>
                <w:color w:val="222222"/>
                <w:sz w:val="20"/>
                <w:szCs w:val="20"/>
              </w:rPr>
              <w:t xml:space="preserve">professionnelles </w:t>
            </w:r>
            <w:r w:rsidRPr="00865134">
              <w:rPr>
                <w:rFonts w:ascii="Arial" w:hAnsi="Arial" w:cs="Arial"/>
                <w:iCs/>
                <w:color w:val="222222"/>
                <w:sz w:val="20"/>
                <w:szCs w:val="20"/>
              </w:rPr>
              <w:t>pour proposer un accompagnement et un suivi en officine</w:t>
            </w:r>
            <w:r>
              <w:rPr>
                <w:rFonts w:ascii="Arial" w:hAnsi="Arial" w:cs="Arial"/>
                <w:iCs/>
                <w:color w:val="222222"/>
                <w:sz w:val="20"/>
                <w:szCs w:val="20"/>
              </w:rPr>
              <w:t xml:space="preserve"> voire orientation le cas échéant (comorbidité santé mentale, addiction multiples…) ;</w:t>
            </w:r>
          </w:p>
          <w:p w:rsidR="004D4B90" w:rsidRDefault="004D4B90" w:rsidP="004D4B90">
            <w:pPr>
              <w:numPr>
                <w:ilvl w:val="0"/>
                <w:numId w:val="1"/>
              </w:numPr>
              <w:spacing w:after="120"/>
              <w:jc w:val="both"/>
              <w:rPr>
                <w:rFonts w:ascii="Arial" w:hAnsi="Arial" w:cs="Arial"/>
                <w:iCs/>
                <w:color w:val="222222"/>
                <w:sz w:val="20"/>
                <w:szCs w:val="20"/>
              </w:rPr>
            </w:pPr>
            <w:r>
              <w:rPr>
                <w:rFonts w:ascii="Arial" w:hAnsi="Arial" w:cs="Arial"/>
                <w:iCs/>
                <w:color w:val="222222"/>
                <w:sz w:val="20"/>
                <w:szCs w:val="20"/>
              </w:rPr>
              <w:t xml:space="preserve">Pharmacien = </w:t>
            </w:r>
            <w:r w:rsidRPr="00865134">
              <w:rPr>
                <w:rFonts w:ascii="Arial" w:hAnsi="Arial" w:cs="Arial"/>
                <w:iCs/>
                <w:color w:val="222222"/>
                <w:sz w:val="20"/>
                <w:szCs w:val="20"/>
              </w:rPr>
              <w:t>Prise en charge multiple et adaptée à la demande du patient</w:t>
            </w:r>
            <w:r>
              <w:rPr>
                <w:rFonts w:ascii="Arial" w:hAnsi="Arial" w:cs="Arial"/>
                <w:iCs/>
                <w:color w:val="222222"/>
                <w:sz w:val="20"/>
                <w:szCs w:val="20"/>
              </w:rPr>
              <w:t>. P</w:t>
            </w:r>
            <w:r w:rsidRPr="00C36979">
              <w:rPr>
                <w:rFonts w:ascii="Arial" w:hAnsi="Arial" w:cs="Arial"/>
                <w:iCs/>
                <w:color w:val="222222"/>
                <w:sz w:val="20"/>
                <w:szCs w:val="20"/>
              </w:rPr>
              <w:t xml:space="preserve">our traiter </w:t>
            </w:r>
            <w:r>
              <w:rPr>
                <w:rFonts w:ascii="Arial" w:hAnsi="Arial" w:cs="Arial"/>
                <w:iCs/>
                <w:color w:val="222222"/>
                <w:sz w:val="20"/>
                <w:szCs w:val="20"/>
              </w:rPr>
              <w:t>les effets collatéraux liés à l’arrêt du tabac, il s’</w:t>
            </w:r>
            <w:r w:rsidRPr="00C36979">
              <w:rPr>
                <w:rFonts w:ascii="Arial" w:hAnsi="Arial" w:cs="Arial"/>
                <w:iCs/>
                <w:color w:val="222222"/>
                <w:sz w:val="20"/>
                <w:szCs w:val="20"/>
              </w:rPr>
              <w:t xml:space="preserve">aide de thérapies adjuvantes : nutrition, homéopathie, phytothérapie, aromathérapie, thérapies </w:t>
            </w:r>
            <w:proofErr w:type="spellStart"/>
            <w:r w:rsidRPr="00C36979">
              <w:rPr>
                <w:rFonts w:ascii="Arial" w:hAnsi="Arial" w:cs="Arial"/>
                <w:iCs/>
                <w:color w:val="222222"/>
                <w:sz w:val="20"/>
                <w:szCs w:val="20"/>
              </w:rPr>
              <w:t>cognitivo</w:t>
            </w:r>
            <w:proofErr w:type="spellEnd"/>
            <w:r w:rsidRPr="00C36979">
              <w:rPr>
                <w:rFonts w:ascii="Arial" w:hAnsi="Arial" w:cs="Arial"/>
                <w:iCs/>
                <w:color w:val="222222"/>
                <w:sz w:val="20"/>
                <w:szCs w:val="20"/>
              </w:rPr>
              <w:t>-com</w:t>
            </w:r>
            <w:r>
              <w:rPr>
                <w:rFonts w:ascii="Arial" w:hAnsi="Arial" w:cs="Arial"/>
                <w:iCs/>
                <w:color w:val="222222"/>
                <w:sz w:val="20"/>
                <w:szCs w:val="20"/>
              </w:rPr>
              <w:t>portementales et promotion de l’</w:t>
            </w:r>
            <w:r w:rsidRPr="00C36979">
              <w:rPr>
                <w:rFonts w:ascii="Arial" w:hAnsi="Arial" w:cs="Arial"/>
                <w:iCs/>
                <w:color w:val="222222"/>
                <w:sz w:val="20"/>
                <w:szCs w:val="20"/>
              </w:rPr>
              <w:t>activité physique</w:t>
            </w:r>
            <w:r>
              <w:rPr>
                <w:rFonts w:ascii="Arial" w:hAnsi="Arial" w:cs="Arial"/>
                <w:iCs/>
                <w:color w:val="222222"/>
                <w:sz w:val="20"/>
                <w:szCs w:val="20"/>
              </w:rPr>
              <w:t> ;</w:t>
            </w:r>
          </w:p>
          <w:p w:rsidR="004D4B90" w:rsidRPr="00647DA0" w:rsidRDefault="004D4B90" w:rsidP="004D4B90">
            <w:pPr>
              <w:numPr>
                <w:ilvl w:val="0"/>
                <w:numId w:val="1"/>
              </w:numPr>
              <w:spacing w:after="120"/>
              <w:jc w:val="both"/>
              <w:rPr>
                <w:rFonts w:ascii="Arial" w:hAnsi="Arial" w:cs="Arial"/>
                <w:iCs/>
                <w:color w:val="222222"/>
                <w:sz w:val="20"/>
                <w:szCs w:val="20"/>
              </w:rPr>
            </w:pPr>
            <w:r>
              <w:rPr>
                <w:rFonts w:ascii="Arial" w:hAnsi="Arial" w:cs="Arial"/>
                <w:iCs/>
                <w:color w:val="222222"/>
                <w:sz w:val="20"/>
                <w:szCs w:val="20"/>
              </w:rPr>
              <w:t>Pharmacien = collaborateur-partenaire du médecin généraliste.</w:t>
            </w:r>
          </w:p>
          <w:p w:rsidR="004D4B90" w:rsidRPr="00C36979" w:rsidRDefault="004D4B90" w:rsidP="004D4B90">
            <w:pPr>
              <w:spacing w:after="120"/>
              <w:jc w:val="both"/>
              <w:rPr>
                <w:rFonts w:ascii="Arial" w:hAnsi="Arial" w:cs="Arial"/>
                <w:b/>
                <w:iCs/>
                <w:color w:val="222222"/>
                <w:sz w:val="20"/>
                <w:szCs w:val="20"/>
              </w:rPr>
            </w:pPr>
            <w:r w:rsidRPr="00C36979">
              <w:rPr>
                <w:rFonts w:ascii="Arial" w:hAnsi="Arial" w:cs="Arial"/>
                <w:b/>
                <w:iCs/>
                <w:color w:val="222222"/>
                <w:sz w:val="20"/>
                <w:szCs w:val="20"/>
              </w:rPr>
              <w:t>Freins :</w:t>
            </w:r>
          </w:p>
          <w:p w:rsidR="004D4B90" w:rsidRDefault="004D4B90" w:rsidP="004D4B90">
            <w:pPr>
              <w:numPr>
                <w:ilvl w:val="0"/>
                <w:numId w:val="1"/>
              </w:numPr>
              <w:spacing w:after="120"/>
              <w:jc w:val="both"/>
              <w:rPr>
                <w:rFonts w:ascii="Arial" w:hAnsi="Arial" w:cs="Arial"/>
                <w:iCs/>
                <w:color w:val="222222"/>
                <w:sz w:val="20"/>
                <w:szCs w:val="20"/>
              </w:rPr>
            </w:pPr>
            <w:r>
              <w:rPr>
                <w:rFonts w:ascii="Arial" w:hAnsi="Arial" w:cs="Arial"/>
                <w:iCs/>
                <w:color w:val="222222"/>
                <w:sz w:val="20"/>
                <w:szCs w:val="20"/>
              </w:rPr>
              <w:t>P</w:t>
            </w:r>
            <w:r w:rsidRPr="00865134">
              <w:rPr>
                <w:rFonts w:ascii="Arial" w:hAnsi="Arial" w:cs="Arial"/>
                <w:iCs/>
                <w:color w:val="222222"/>
                <w:sz w:val="20"/>
                <w:szCs w:val="20"/>
              </w:rPr>
              <w:t xml:space="preserve">atient </w:t>
            </w:r>
            <w:r>
              <w:rPr>
                <w:rFonts w:ascii="Arial" w:hAnsi="Arial" w:cs="Arial"/>
                <w:iCs/>
                <w:color w:val="222222"/>
                <w:sz w:val="20"/>
                <w:szCs w:val="20"/>
              </w:rPr>
              <w:t xml:space="preserve">peu </w:t>
            </w:r>
            <w:r w:rsidRPr="00865134">
              <w:rPr>
                <w:rFonts w:ascii="Arial" w:hAnsi="Arial" w:cs="Arial"/>
                <w:iCs/>
                <w:color w:val="222222"/>
                <w:sz w:val="20"/>
                <w:szCs w:val="20"/>
              </w:rPr>
              <w:t xml:space="preserve">habitué à ce type de </w:t>
            </w:r>
            <w:r>
              <w:rPr>
                <w:rFonts w:ascii="Arial" w:hAnsi="Arial" w:cs="Arial"/>
                <w:iCs/>
                <w:color w:val="222222"/>
                <w:sz w:val="20"/>
                <w:szCs w:val="20"/>
              </w:rPr>
              <w:t xml:space="preserve">prestations dans l’officine, </w:t>
            </w:r>
            <w:r w:rsidRPr="00865134">
              <w:rPr>
                <w:rFonts w:ascii="Arial" w:hAnsi="Arial" w:cs="Arial"/>
                <w:iCs/>
                <w:color w:val="222222"/>
                <w:sz w:val="20"/>
                <w:szCs w:val="20"/>
              </w:rPr>
              <w:t>vient</w:t>
            </w:r>
            <w:r>
              <w:rPr>
                <w:rFonts w:ascii="Arial" w:hAnsi="Arial" w:cs="Arial"/>
                <w:iCs/>
                <w:color w:val="222222"/>
                <w:sz w:val="20"/>
                <w:szCs w:val="20"/>
              </w:rPr>
              <w:t xml:space="preserve"> pour</w:t>
            </w:r>
            <w:r w:rsidRPr="00865134">
              <w:rPr>
                <w:rFonts w:ascii="Arial" w:hAnsi="Arial" w:cs="Arial"/>
                <w:iCs/>
                <w:color w:val="222222"/>
                <w:sz w:val="20"/>
                <w:szCs w:val="20"/>
              </w:rPr>
              <w:t xml:space="preserve"> acheter des substituts, se faire conseiller</w:t>
            </w:r>
            <w:r>
              <w:rPr>
                <w:rFonts w:ascii="Arial" w:hAnsi="Arial" w:cs="Arial"/>
                <w:iCs/>
                <w:color w:val="222222"/>
                <w:sz w:val="20"/>
                <w:szCs w:val="20"/>
              </w:rPr>
              <w:t xml:space="preserve"> sur le moment</w:t>
            </w:r>
            <w:r w:rsidRPr="00865134">
              <w:rPr>
                <w:rFonts w:ascii="Arial" w:hAnsi="Arial" w:cs="Arial"/>
                <w:iCs/>
                <w:color w:val="222222"/>
                <w:sz w:val="20"/>
                <w:szCs w:val="20"/>
              </w:rPr>
              <w:t xml:space="preserve"> mais ne va pas demander</w:t>
            </w:r>
            <w:r>
              <w:rPr>
                <w:rFonts w:ascii="Arial" w:hAnsi="Arial" w:cs="Arial"/>
                <w:iCs/>
                <w:color w:val="222222"/>
                <w:sz w:val="20"/>
                <w:szCs w:val="20"/>
              </w:rPr>
              <w:t xml:space="preserve"> un suivi ou un accompagnement ;</w:t>
            </w:r>
          </w:p>
          <w:p w:rsidR="004D4B90" w:rsidRDefault="004D4B90" w:rsidP="004D4B90">
            <w:pPr>
              <w:numPr>
                <w:ilvl w:val="0"/>
                <w:numId w:val="1"/>
              </w:numPr>
              <w:spacing w:after="120"/>
              <w:jc w:val="both"/>
              <w:rPr>
                <w:rFonts w:ascii="Arial" w:hAnsi="Arial" w:cs="Arial"/>
                <w:iCs/>
                <w:color w:val="222222"/>
                <w:sz w:val="20"/>
                <w:szCs w:val="20"/>
              </w:rPr>
            </w:pPr>
            <w:r w:rsidRPr="00865134">
              <w:rPr>
                <w:rFonts w:ascii="Arial" w:hAnsi="Arial" w:cs="Arial"/>
                <w:iCs/>
                <w:color w:val="222222"/>
                <w:sz w:val="20"/>
                <w:szCs w:val="20"/>
              </w:rPr>
              <w:t xml:space="preserve">le prix des substituts (même s’ils reviennent moins cher qu’un paquet de cigarette, 16 euros par semaine en moyenne pour 7 patch 14 mg) et parfois un manque de confiance envers </w:t>
            </w:r>
            <w:r>
              <w:rPr>
                <w:rFonts w:ascii="Arial" w:hAnsi="Arial" w:cs="Arial"/>
                <w:iCs/>
                <w:color w:val="222222"/>
                <w:sz w:val="20"/>
                <w:szCs w:val="20"/>
              </w:rPr>
              <w:t xml:space="preserve">l’efficacité </w:t>
            </w:r>
            <w:r w:rsidRPr="00865134">
              <w:rPr>
                <w:rFonts w:ascii="Arial" w:hAnsi="Arial" w:cs="Arial"/>
                <w:iCs/>
                <w:color w:val="222222"/>
                <w:sz w:val="20"/>
                <w:szCs w:val="20"/>
              </w:rPr>
              <w:t>les produits</w:t>
            </w:r>
            <w:r>
              <w:rPr>
                <w:rFonts w:ascii="Arial" w:hAnsi="Arial" w:cs="Arial"/>
                <w:iCs/>
                <w:color w:val="222222"/>
                <w:sz w:val="20"/>
                <w:szCs w:val="20"/>
              </w:rPr>
              <w:t xml:space="preserve"> quant à leur dépendance ;</w:t>
            </w:r>
          </w:p>
          <w:p w:rsidR="004D4B90" w:rsidRDefault="004D4B90" w:rsidP="004D4B90">
            <w:pPr>
              <w:numPr>
                <w:ilvl w:val="0"/>
                <w:numId w:val="1"/>
              </w:numPr>
              <w:spacing w:after="120"/>
              <w:jc w:val="both"/>
              <w:rPr>
                <w:rFonts w:ascii="Arial" w:hAnsi="Arial" w:cs="Arial"/>
                <w:iCs/>
                <w:color w:val="222222"/>
                <w:sz w:val="20"/>
                <w:szCs w:val="20"/>
              </w:rPr>
            </w:pPr>
            <w:r>
              <w:rPr>
                <w:rFonts w:ascii="Arial" w:hAnsi="Arial" w:cs="Arial"/>
                <w:iCs/>
                <w:color w:val="222222"/>
                <w:sz w:val="20"/>
                <w:szCs w:val="20"/>
              </w:rPr>
              <w:t>l’expérimentation du protocole doit être attractive pour les pharmaciens qui vont y destiné du temps ; nécessite le soutien de l’ARS OI.</w:t>
            </w:r>
          </w:p>
          <w:p w:rsidR="004D4B90" w:rsidRDefault="004D4B90" w:rsidP="004D4B90">
            <w:pPr>
              <w:spacing w:after="120"/>
              <w:jc w:val="both"/>
              <w:rPr>
                <w:rFonts w:ascii="Arial" w:hAnsi="Arial" w:cs="Arial"/>
                <w:iCs/>
                <w:color w:val="222222"/>
                <w:sz w:val="20"/>
                <w:szCs w:val="20"/>
              </w:rPr>
            </w:pPr>
          </w:p>
          <w:p w:rsidR="004D4B90" w:rsidRDefault="004D4B90" w:rsidP="004D4B90">
            <w:pPr>
              <w:spacing w:after="120"/>
              <w:jc w:val="both"/>
              <w:rPr>
                <w:rFonts w:ascii="Arial" w:hAnsi="Arial" w:cs="Arial"/>
                <w:iCs/>
                <w:color w:val="222222"/>
                <w:sz w:val="20"/>
                <w:szCs w:val="20"/>
              </w:rPr>
            </w:pPr>
          </w:p>
          <w:p w:rsidR="004D4B90" w:rsidRPr="00F51173" w:rsidRDefault="004D4B90" w:rsidP="004D4B90">
            <w:pPr>
              <w:spacing w:after="120"/>
              <w:jc w:val="both"/>
              <w:rPr>
                <w:rFonts w:ascii="Arial" w:hAnsi="Arial" w:cs="Arial"/>
                <w:iCs/>
                <w:color w:val="222222"/>
                <w:sz w:val="20"/>
                <w:szCs w:val="20"/>
              </w:rPr>
            </w:pPr>
          </w:p>
        </w:tc>
      </w:tr>
      <w:tr w:rsidR="004D4B90" w:rsidRPr="00F91D9A" w:rsidTr="004D4B90">
        <w:trPr>
          <w:trHeight w:val="420"/>
        </w:trPr>
        <w:tc>
          <w:tcPr>
            <w:tcW w:w="10485" w:type="dxa"/>
            <w:gridSpan w:val="6"/>
            <w:shd w:val="clear" w:color="auto" w:fill="auto"/>
            <w:vAlign w:val="center"/>
          </w:tcPr>
          <w:p w:rsidR="004D4B90" w:rsidRDefault="004D4B90" w:rsidP="004D4B90">
            <w:pPr>
              <w:spacing w:before="120" w:after="120"/>
              <w:jc w:val="center"/>
              <w:rPr>
                <w:rFonts w:ascii="Arial" w:hAnsi="Arial" w:cs="Arial"/>
                <w:b/>
                <w:color w:val="00BFBA"/>
              </w:rPr>
            </w:pPr>
            <w:r w:rsidRPr="007A2779">
              <w:rPr>
                <w:rFonts w:ascii="Arial" w:hAnsi="Arial" w:cs="Arial"/>
                <w:b/>
                <w:color w:val="00BFBA"/>
              </w:rPr>
              <w:lastRenderedPageBreak/>
              <w:t>C</w:t>
            </w:r>
            <w:r>
              <w:rPr>
                <w:rFonts w:ascii="Arial" w:hAnsi="Arial" w:cs="Arial"/>
                <w:b/>
                <w:color w:val="00BFBA"/>
              </w:rPr>
              <w:t>ONTEXTE POLITIQUE PUBLIQUE</w:t>
            </w:r>
          </w:p>
          <w:p w:rsidR="004D4B90" w:rsidRDefault="004D4B90" w:rsidP="004D4B90">
            <w:pPr>
              <w:spacing w:before="120" w:after="120"/>
              <w:jc w:val="both"/>
              <w:rPr>
                <w:rFonts w:ascii="Arial" w:hAnsi="Arial" w:cs="Arial"/>
                <w:b/>
              </w:rPr>
            </w:pPr>
            <w:r w:rsidRPr="00A37108">
              <w:rPr>
                <w:rFonts w:ascii="Arial" w:hAnsi="Arial" w:cs="Arial"/>
                <w:b/>
                <w:color w:val="00BFBA"/>
              </w:rPr>
              <w:t>Nationale </w:t>
            </w:r>
            <w:r w:rsidRPr="00893FE8">
              <w:rPr>
                <w:rFonts w:ascii="Arial" w:hAnsi="Arial" w:cs="Arial"/>
                <w:b/>
              </w:rPr>
              <w:t>:</w:t>
            </w:r>
            <w:r>
              <w:rPr>
                <w:rFonts w:ascii="Arial" w:hAnsi="Arial" w:cs="Arial"/>
                <w:b/>
              </w:rPr>
              <w:t xml:space="preserve"> </w:t>
            </w:r>
          </w:p>
          <w:p w:rsidR="004D4B90" w:rsidRDefault="004D4B90" w:rsidP="004D4B90">
            <w:pPr>
              <w:spacing w:after="120"/>
              <w:jc w:val="both"/>
              <w:rPr>
                <w:rFonts w:ascii="Arial" w:hAnsi="Arial" w:cs="Arial"/>
                <w:b/>
              </w:rPr>
            </w:pPr>
            <w:r>
              <w:rPr>
                <w:rFonts w:ascii="Arial" w:hAnsi="Arial" w:cs="Arial"/>
                <w:b/>
              </w:rPr>
              <w:t>Pour les pharmaciens : Loi Hôpital Patients Santé Territoires Juillet 2009</w:t>
            </w:r>
          </w:p>
          <w:p w:rsidR="004D4B90" w:rsidRDefault="004D4B90" w:rsidP="004D4B90">
            <w:pPr>
              <w:spacing w:after="120"/>
              <w:jc w:val="both"/>
              <w:rPr>
                <w:rFonts w:ascii="Arial" w:hAnsi="Arial" w:cs="Arial"/>
                <w:iCs/>
                <w:color w:val="222222"/>
                <w:sz w:val="20"/>
                <w:szCs w:val="20"/>
              </w:rPr>
            </w:pPr>
            <w:r w:rsidRPr="00865134">
              <w:rPr>
                <w:rFonts w:ascii="Arial" w:hAnsi="Arial" w:cs="Arial"/>
                <w:iCs/>
                <w:color w:val="222222"/>
                <w:sz w:val="20"/>
                <w:szCs w:val="20"/>
              </w:rPr>
              <w:t>«</w:t>
            </w:r>
            <w:r w:rsidRPr="00865134">
              <w:rPr>
                <w:rFonts w:ascii="MS Gothic" w:eastAsia="MS Gothic" w:hAnsi="MS Gothic" w:cs="MS Gothic" w:hint="eastAsia"/>
                <w:iCs/>
                <w:color w:val="222222"/>
                <w:sz w:val="20"/>
                <w:szCs w:val="20"/>
              </w:rPr>
              <w:t> </w:t>
            </w:r>
            <w:r w:rsidRPr="00865134">
              <w:rPr>
                <w:rFonts w:ascii="Arial" w:hAnsi="Arial" w:cs="Arial"/>
                <w:iCs/>
                <w:color w:val="222222"/>
                <w:sz w:val="20"/>
                <w:szCs w:val="20"/>
              </w:rPr>
              <w:t>Le pharmacien d'officine doit contribuer aux soins de premier recours, participer à la coopération entre professionnels de santé, à la mission de service public de la permanence des soins, concourir aux actions de veille et de protection sanitaire organisée par les autorités de santé, à l'éducation thérapeutique et aux actions d'accompagnement des patients.»</w:t>
            </w:r>
          </w:p>
          <w:p w:rsidR="004D4B90" w:rsidRPr="001E203A" w:rsidRDefault="004D4B90" w:rsidP="004D4B90">
            <w:pPr>
              <w:spacing w:after="120"/>
              <w:jc w:val="both"/>
              <w:rPr>
                <w:rFonts w:ascii="Arial" w:hAnsi="Arial" w:cs="Arial"/>
                <w:iCs/>
                <w:color w:val="222222"/>
                <w:sz w:val="20"/>
                <w:szCs w:val="20"/>
              </w:rPr>
            </w:pPr>
            <w:r w:rsidRPr="001E203A">
              <w:rPr>
                <w:rFonts w:ascii="Arial" w:hAnsi="Arial" w:cs="Arial"/>
                <w:iCs/>
                <w:color w:val="222222"/>
                <w:sz w:val="20"/>
                <w:szCs w:val="20"/>
              </w:rPr>
              <w:t>Code déontologique :</w:t>
            </w:r>
          </w:p>
          <w:p w:rsidR="004D4B90" w:rsidRPr="001E203A" w:rsidRDefault="004D4B90" w:rsidP="004D4B90">
            <w:pPr>
              <w:pStyle w:val="Paragraphedeliste"/>
              <w:widowControl/>
              <w:numPr>
                <w:ilvl w:val="0"/>
                <w:numId w:val="2"/>
              </w:numPr>
              <w:suppressAutoHyphens w:val="0"/>
              <w:spacing w:after="120"/>
              <w:contextualSpacing/>
              <w:jc w:val="both"/>
              <w:rPr>
                <w:rFonts w:ascii="Arial" w:eastAsia="Times New Roman" w:hAnsi="Arial" w:cs="Arial"/>
                <w:iCs/>
                <w:color w:val="222222"/>
                <w:sz w:val="20"/>
                <w:szCs w:val="20"/>
                <w:lang w:eastAsia="fr-FR"/>
              </w:rPr>
            </w:pPr>
            <w:r w:rsidRPr="001E203A">
              <w:rPr>
                <w:rFonts w:ascii="Arial" w:eastAsia="Times New Roman" w:hAnsi="Arial" w:cs="Arial"/>
                <w:iCs/>
                <w:color w:val="222222"/>
                <w:sz w:val="20"/>
                <w:szCs w:val="20"/>
                <w:lang w:eastAsia="fr-FR"/>
              </w:rPr>
              <w:t>R 4235 2 CSP : lutte contre la toxicomanie</w:t>
            </w:r>
          </w:p>
          <w:p w:rsidR="004D4B90" w:rsidRPr="001E203A" w:rsidRDefault="004D4B90" w:rsidP="004D4B90">
            <w:pPr>
              <w:pStyle w:val="Paragraphedeliste"/>
              <w:widowControl/>
              <w:numPr>
                <w:ilvl w:val="0"/>
                <w:numId w:val="2"/>
              </w:numPr>
              <w:suppressAutoHyphens w:val="0"/>
              <w:spacing w:after="120"/>
              <w:contextualSpacing/>
              <w:jc w:val="both"/>
              <w:rPr>
                <w:rFonts w:ascii="Arial" w:eastAsia="Times New Roman" w:hAnsi="Arial" w:cs="Arial"/>
                <w:iCs/>
                <w:color w:val="222222"/>
                <w:sz w:val="20"/>
                <w:szCs w:val="20"/>
                <w:lang w:eastAsia="fr-FR"/>
              </w:rPr>
            </w:pPr>
            <w:r w:rsidRPr="001E203A">
              <w:rPr>
                <w:rFonts w:ascii="Arial" w:eastAsia="Times New Roman" w:hAnsi="Arial" w:cs="Arial"/>
                <w:iCs/>
                <w:color w:val="222222"/>
                <w:sz w:val="20"/>
                <w:szCs w:val="20"/>
                <w:lang w:eastAsia="fr-FR"/>
              </w:rPr>
              <w:t>R 4235 8 CSP : protection de la santé</w:t>
            </w:r>
          </w:p>
          <w:p w:rsidR="004D4B90" w:rsidRDefault="004D4B90" w:rsidP="004D4B90">
            <w:pPr>
              <w:pStyle w:val="Paragraphedeliste"/>
              <w:widowControl/>
              <w:numPr>
                <w:ilvl w:val="0"/>
                <w:numId w:val="2"/>
              </w:numPr>
              <w:suppressAutoHyphens w:val="0"/>
              <w:spacing w:after="120"/>
              <w:contextualSpacing/>
              <w:jc w:val="both"/>
              <w:rPr>
                <w:rFonts w:ascii="Arial" w:eastAsia="Times New Roman" w:hAnsi="Arial" w:cs="Arial"/>
                <w:iCs/>
                <w:color w:val="222222"/>
                <w:sz w:val="20"/>
                <w:szCs w:val="20"/>
                <w:lang w:eastAsia="fr-FR"/>
              </w:rPr>
            </w:pPr>
            <w:r w:rsidRPr="001E203A">
              <w:rPr>
                <w:rFonts w:ascii="Arial" w:eastAsia="Times New Roman" w:hAnsi="Arial" w:cs="Arial"/>
                <w:iCs/>
                <w:color w:val="222222"/>
                <w:sz w:val="20"/>
                <w:szCs w:val="20"/>
                <w:lang w:eastAsia="fr-FR"/>
              </w:rPr>
              <w:t>R 4235 10 CSP : Favoriser la santé publique</w:t>
            </w:r>
          </w:p>
          <w:p w:rsidR="004D4B90" w:rsidRPr="00893FE8" w:rsidRDefault="004D4B90" w:rsidP="004D4B90">
            <w:pPr>
              <w:spacing w:after="120"/>
              <w:jc w:val="both"/>
              <w:rPr>
                <w:rFonts w:ascii="Arial" w:hAnsi="Arial" w:cs="Arial"/>
                <w:b/>
              </w:rPr>
            </w:pPr>
            <w:r>
              <w:rPr>
                <w:rFonts w:ascii="Arial" w:hAnsi="Arial" w:cs="Arial"/>
                <w:b/>
              </w:rPr>
              <w:t>Pour le réseau d’addictologie : Plan gouvernemental de lutte contre les drogues et les conduites addictives</w:t>
            </w:r>
          </w:p>
          <w:p w:rsidR="004D4B90" w:rsidRPr="00A37108" w:rsidRDefault="004D4B90" w:rsidP="004D4B90">
            <w:pPr>
              <w:spacing w:after="120"/>
              <w:jc w:val="both"/>
              <w:rPr>
                <w:rFonts w:ascii="Arial" w:eastAsia="Cambria" w:hAnsi="Arial" w:cs="Arial"/>
                <w:bCs/>
                <w:color w:val="000000"/>
                <w:sz w:val="20"/>
                <w:szCs w:val="20"/>
              </w:rPr>
            </w:pPr>
            <w:r w:rsidRPr="00A37108">
              <w:rPr>
                <w:rFonts w:ascii="Arial" w:eastAsia="Cambria" w:hAnsi="Arial" w:cs="Arial"/>
                <w:bCs/>
                <w:color w:val="000000"/>
                <w:sz w:val="20"/>
                <w:szCs w:val="20"/>
              </w:rPr>
              <w:t>Axe : Prévention et Communication</w:t>
            </w:r>
          </w:p>
          <w:p w:rsidR="004D4B90" w:rsidRPr="00A37108" w:rsidRDefault="004D4B90" w:rsidP="004D4B90">
            <w:pPr>
              <w:spacing w:after="120"/>
              <w:jc w:val="both"/>
              <w:rPr>
                <w:rFonts w:ascii="Arial" w:eastAsia="Cambria" w:hAnsi="Arial" w:cs="Arial"/>
                <w:bCs/>
                <w:color w:val="000000"/>
                <w:sz w:val="20"/>
                <w:szCs w:val="20"/>
              </w:rPr>
            </w:pPr>
            <w:r w:rsidRPr="00A37108">
              <w:rPr>
                <w:rFonts w:ascii="Arial" w:eastAsia="Cambria" w:hAnsi="Arial" w:cs="Arial"/>
                <w:bCs/>
                <w:color w:val="000000"/>
                <w:sz w:val="20"/>
                <w:szCs w:val="20"/>
              </w:rPr>
              <w:t>Axe stratégique : 1.2 Accompagner et prendre en charge</w:t>
            </w:r>
          </w:p>
          <w:p w:rsidR="004D4B90" w:rsidRPr="00A37108" w:rsidRDefault="004D4B90" w:rsidP="004D4B90">
            <w:pPr>
              <w:spacing w:after="120"/>
              <w:jc w:val="both"/>
              <w:rPr>
                <w:rFonts w:ascii="Arial" w:eastAsia="Cambria" w:hAnsi="Arial" w:cs="Arial"/>
                <w:bCs/>
                <w:color w:val="000000"/>
                <w:sz w:val="20"/>
                <w:szCs w:val="20"/>
              </w:rPr>
            </w:pPr>
            <w:r w:rsidRPr="00A37108">
              <w:rPr>
                <w:rFonts w:ascii="Arial" w:eastAsia="Cambria" w:hAnsi="Arial" w:cs="Arial"/>
                <w:bCs/>
                <w:color w:val="000000"/>
                <w:sz w:val="20"/>
                <w:szCs w:val="20"/>
              </w:rPr>
              <w:t xml:space="preserve">Objectif : 1.2.1.2 Conforter les compétences des professionnels de </w:t>
            </w:r>
            <w:proofErr w:type="spellStart"/>
            <w:r w:rsidRPr="00A37108">
              <w:rPr>
                <w:rFonts w:ascii="Arial" w:eastAsia="Cambria" w:hAnsi="Arial" w:cs="Arial"/>
                <w:bCs/>
                <w:color w:val="000000"/>
                <w:sz w:val="20"/>
                <w:szCs w:val="20"/>
              </w:rPr>
              <w:t>sante</w:t>
            </w:r>
            <w:proofErr w:type="spellEnd"/>
            <w:r w:rsidRPr="00A37108">
              <w:rPr>
                <w:rFonts w:ascii="Arial" w:eastAsia="Cambria" w:hAnsi="Arial" w:cs="Arial"/>
                <w:bCs/>
                <w:color w:val="000000"/>
                <w:sz w:val="20"/>
                <w:szCs w:val="20"/>
              </w:rPr>
              <w:t>́</w:t>
            </w:r>
          </w:p>
          <w:p w:rsidR="004D4B90" w:rsidRPr="00A37108" w:rsidRDefault="004D4B90" w:rsidP="004D4B90">
            <w:pPr>
              <w:spacing w:after="120"/>
              <w:jc w:val="both"/>
              <w:rPr>
                <w:rFonts w:ascii="Arial" w:eastAsia="Cambria" w:hAnsi="Arial" w:cs="Arial"/>
                <w:bCs/>
                <w:color w:val="000000"/>
                <w:sz w:val="20"/>
                <w:szCs w:val="20"/>
              </w:rPr>
            </w:pPr>
            <w:r w:rsidRPr="00A37108">
              <w:rPr>
                <w:rFonts w:ascii="Arial" w:eastAsia="Cambria" w:hAnsi="Arial" w:cs="Arial"/>
                <w:bCs/>
                <w:color w:val="000000"/>
                <w:sz w:val="20"/>
                <w:szCs w:val="20"/>
              </w:rPr>
              <w:t xml:space="preserve">Action : S’appuyer notamment sur les réseaux d’addictologie existants pour faciliter des parcours de soins coordonnés et une organisation lisible sur les territoires, en cohérence avec les orientations développées dans le cadre de la </w:t>
            </w:r>
            <w:proofErr w:type="spellStart"/>
            <w:r w:rsidRPr="00A37108">
              <w:rPr>
                <w:rFonts w:ascii="Arial" w:eastAsia="Cambria" w:hAnsi="Arial" w:cs="Arial"/>
                <w:bCs/>
                <w:color w:val="000000"/>
                <w:sz w:val="20"/>
                <w:szCs w:val="20"/>
              </w:rPr>
              <w:t>stratégie</w:t>
            </w:r>
            <w:proofErr w:type="spellEnd"/>
            <w:r w:rsidRPr="00A37108">
              <w:rPr>
                <w:rFonts w:ascii="Arial" w:eastAsia="Cambria" w:hAnsi="Arial" w:cs="Arial"/>
                <w:bCs/>
                <w:color w:val="000000"/>
                <w:sz w:val="20"/>
                <w:szCs w:val="20"/>
              </w:rPr>
              <w:t xml:space="preserve"> nationale de sante</w:t>
            </w:r>
          </w:p>
          <w:p w:rsidR="004D4B90" w:rsidRPr="00A37108" w:rsidRDefault="004D4B90" w:rsidP="004D4B90">
            <w:pPr>
              <w:spacing w:after="120"/>
              <w:jc w:val="both"/>
              <w:rPr>
                <w:rFonts w:ascii="Arial" w:eastAsia="Cambria" w:hAnsi="Arial" w:cs="Arial"/>
                <w:bCs/>
                <w:color w:val="000000"/>
                <w:sz w:val="20"/>
                <w:szCs w:val="20"/>
              </w:rPr>
            </w:pPr>
            <w:r w:rsidRPr="00A37108">
              <w:rPr>
                <w:rFonts w:ascii="Arial" w:eastAsia="Cambria" w:hAnsi="Arial" w:cs="Arial"/>
                <w:bCs/>
                <w:color w:val="000000"/>
                <w:sz w:val="20"/>
                <w:szCs w:val="20"/>
              </w:rPr>
              <w:t>Effet attendu : Amélioration de la qualité́ et la coordination de la prise en charge des personnes ayant une conduite addictive par les acteurs de premier recours</w:t>
            </w:r>
          </w:p>
          <w:p w:rsidR="004D4B90" w:rsidRPr="001E203A" w:rsidRDefault="004D4B90" w:rsidP="004D4B90">
            <w:pPr>
              <w:spacing w:after="120"/>
              <w:jc w:val="both"/>
              <w:rPr>
                <w:rFonts w:ascii="Arial" w:hAnsi="Arial" w:cs="Arial"/>
                <w:b/>
                <w:color w:val="00BFBA"/>
              </w:rPr>
            </w:pPr>
            <w:r w:rsidRPr="00A37108">
              <w:rPr>
                <w:rFonts w:ascii="Arial" w:hAnsi="Arial" w:cs="Arial"/>
                <w:b/>
                <w:color w:val="00BFBA"/>
              </w:rPr>
              <w:t>Régionale </w:t>
            </w:r>
            <w:r w:rsidRPr="001E203A">
              <w:rPr>
                <w:rFonts w:ascii="Arial" w:hAnsi="Arial" w:cs="Arial"/>
                <w:b/>
                <w:color w:val="00BFBA"/>
              </w:rPr>
              <w:t>: Plan Régional de Santé Réunion / Mayotte (2012-2016)</w:t>
            </w:r>
          </w:p>
          <w:p w:rsidR="004D4B90" w:rsidRPr="008D515F" w:rsidRDefault="004D4B90" w:rsidP="004D4B90">
            <w:pPr>
              <w:spacing w:after="120"/>
              <w:jc w:val="both"/>
              <w:rPr>
                <w:rFonts w:ascii="Arial" w:hAnsi="Arial" w:cs="Arial"/>
                <w:b/>
              </w:rPr>
            </w:pPr>
            <w:r w:rsidRPr="008D515F">
              <w:rPr>
                <w:rFonts w:ascii="Arial" w:hAnsi="Arial" w:cs="Arial"/>
                <w:b/>
              </w:rPr>
              <w:t xml:space="preserve">Pour les pharmaciens : </w:t>
            </w:r>
          </w:p>
          <w:p w:rsidR="004D4B90" w:rsidRPr="009375EC" w:rsidRDefault="004D4B90" w:rsidP="004D4B90">
            <w:pPr>
              <w:tabs>
                <w:tab w:val="left" w:pos="773"/>
                <w:tab w:val="center" w:pos="5383"/>
              </w:tabs>
              <w:spacing w:after="120"/>
              <w:rPr>
                <w:rFonts w:ascii="Arial" w:eastAsia="Cambria" w:hAnsi="Arial" w:cs="Arial"/>
                <w:bCs/>
                <w:color w:val="000000"/>
                <w:sz w:val="20"/>
                <w:szCs w:val="20"/>
              </w:rPr>
            </w:pPr>
            <w:r w:rsidRPr="009375EC">
              <w:rPr>
                <w:rFonts w:ascii="Arial" w:eastAsia="Cambria" w:hAnsi="Arial" w:cs="Arial"/>
                <w:bCs/>
                <w:color w:val="000000"/>
                <w:sz w:val="20"/>
                <w:szCs w:val="20"/>
              </w:rPr>
              <w:t xml:space="preserve">Orientation n°3 – Promouvoir des comportements favorables à la santé de la population </w:t>
            </w:r>
          </w:p>
          <w:p w:rsidR="004D4B90" w:rsidRDefault="004D4B90" w:rsidP="004D4B90">
            <w:pPr>
              <w:tabs>
                <w:tab w:val="left" w:pos="773"/>
                <w:tab w:val="center" w:pos="5383"/>
              </w:tabs>
              <w:spacing w:after="120"/>
              <w:rPr>
                <w:rFonts w:ascii="Arial" w:eastAsia="Cambria" w:hAnsi="Arial" w:cs="Arial"/>
                <w:bCs/>
                <w:color w:val="000000"/>
                <w:sz w:val="20"/>
                <w:szCs w:val="20"/>
              </w:rPr>
            </w:pPr>
            <w:r w:rsidRPr="009375EC">
              <w:rPr>
                <w:rFonts w:ascii="Arial" w:eastAsia="Cambria" w:hAnsi="Arial" w:cs="Arial"/>
                <w:bCs/>
                <w:color w:val="000000"/>
                <w:sz w:val="20"/>
                <w:szCs w:val="20"/>
              </w:rPr>
              <w:t>Axe 2 • Prévenir les conduites addictives</w:t>
            </w:r>
          </w:p>
          <w:p w:rsidR="004D4B90" w:rsidRPr="00D655ED" w:rsidRDefault="004D4B90" w:rsidP="004D4B90">
            <w:pPr>
              <w:widowControl w:val="0"/>
              <w:autoSpaceDE w:val="0"/>
              <w:autoSpaceDN w:val="0"/>
              <w:adjustRightInd w:val="0"/>
              <w:rPr>
                <w:rFonts w:ascii="Arial" w:eastAsia="Cambria" w:hAnsi="Arial" w:cs="Arial"/>
                <w:bCs/>
                <w:color w:val="000000"/>
                <w:sz w:val="20"/>
                <w:szCs w:val="20"/>
              </w:rPr>
            </w:pPr>
            <w:r w:rsidRPr="00D655ED">
              <w:rPr>
                <w:rFonts w:ascii="Arial" w:eastAsia="Cambria" w:hAnsi="Arial" w:cs="Arial"/>
                <w:bCs/>
                <w:color w:val="000000"/>
                <w:sz w:val="20"/>
                <w:szCs w:val="20"/>
              </w:rPr>
              <w:t>Objectifs généraux : faire connaitre à la population les facteurs de risque et les principales pathologies liées à la consommation d’alcool, de tabac et de drogues illicites</w:t>
            </w:r>
          </w:p>
          <w:p w:rsidR="004D4B90" w:rsidRPr="00D655ED" w:rsidRDefault="004D4B90" w:rsidP="004D4B90">
            <w:pPr>
              <w:tabs>
                <w:tab w:val="left" w:pos="773"/>
                <w:tab w:val="center" w:pos="5383"/>
              </w:tabs>
              <w:spacing w:after="120"/>
              <w:rPr>
                <w:rFonts w:ascii="Arial" w:eastAsia="Cambria" w:hAnsi="Arial" w:cs="Arial"/>
                <w:bCs/>
                <w:color w:val="000000"/>
                <w:sz w:val="20"/>
                <w:szCs w:val="20"/>
              </w:rPr>
            </w:pPr>
            <w:r w:rsidRPr="00D655ED">
              <w:rPr>
                <w:rFonts w:ascii="Arial" w:eastAsia="Cambria" w:hAnsi="Arial" w:cs="Arial"/>
                <w:bCs/>
                <w:color w:val="000000"/>
                <w:sz w:val="20"/>
                <w:szCs w:val="20"/>
              </w:rPr>
              <w:t>Mesure 2.2 : Renforcer le repérage précoce</w:t>
            </w:r>
          </w:p>
          <w:p w:rsidR="004D4B90" w:rsidRPr="00D655ED" w:rsidRDefault="004D4B90" w:rsidP="004D4B90">
            <w:pPr>
              <w:widowControl w:val="0"/>
              <w:autoSpaceDE w:val="0"/>
              <w:autoSpaceDN w:val="0"/>
              <w:adjustRightInd w:val="0"/>
              <w:rPr>
                <w:rFonts w:ascii="Arial" w:eastAsia="Cambria" w:hAnsi="Arial" w:cs="Arial"/>
                <w:bCs/>
                <w:color w:val="000000"/>
                <w:sz w:val="20"/>
                <w:szCs w:val="20"/>
              </w:rPr>
            </w:pPr>
            <w:r w:rsidRPr="00D655ED">
              <w:rPr>
                <w:rFonts w:ascii="Arial" w:eastAsia="Cambria" w:hAnsi="Arial" w:cs="Arial"/>
                <w:bCs/>
                <w:color w:val="000000"/>
                <w:sz w:val="20"/>
                <w:szCs w:val="20"/>
              </w:rPr>
              <w:t>Mesure 2.1 : informer la population sur les risques et pathologies</w:t>
            </w:r>
          </w:p>
          <w:p w:rsidR="004D4B90" w:rsidRPr="009375EC" w:rsidRDefault="004D4B90" w:rsidP="004D4B90">
            <w:pPr>
              <w:tabs>
                <w:tab w:val="left" w:pos="773"/>
                <w:tab w:val="center" w:pos="5383"/>
              </w:tabs>
              <w:spacing w:after="120"/>
              <w:rPr>
                <w:rFonts w:ascii="Arial" w:eastAsia="Cambria" w:hAnsi="Arial" w:cs="Arial"/>
                <w:bCs/>
                <w:color w:val="000000"/>
                <w:sz w:val="20"/>
                <w:szCs w:val="20"/>
              </w:rPr>
            </w:pPr>
            <w:r w:rsidRPr="00D655ED">
              <w:rPr>
                <w:rFonts w:ascii="Arial" w:eastAsia="Cambria" w:hAnsi="Arial" w:cs="Arial"/>
                <w:bCs/>
                <w:color w:val="000000"/>
                <w:sz w:val="20"/>
                <w:szCs w:val="20"/>
              </w:rPr>
              <w:t>L’incidence du cancer est en constante augmentation en partie en raison du vieillissement de la population, mais l’importance des pathologies dues à l’alcool et du tabagisme aggravera la situation dans les années à venir</w:t>
            </w:r>
          </w:p>
          <w:p w:rsidR="004D4B90" w:rsidRPr="008D515F" w:rsidRDefault="004D4B90" w:rsidP="004D4B90">
            <w:pPr>
              <w:spacing w:after="120"/>
              <w:jc w:val="both"/>
              <w:rPr>
                <w:rFonts w:ascii="Arial" w:hAnsi="Arial" w:cs="Arial"/>
                <w:b/>
              </w:rPr>
            </w:pPr>
            <w:r w:rsidRPr="008D515F">
              <w:rPr>
                <w:rFonts w:ascii="Arial" w:hAnsi="Arial" w:cs="Arial"/>
                <w:b/>
              </w:rPr>
              <w:t>Pour le réseau d’addictologie :</w:t>
            </w:r>
          </w:p>
          <w:p w:rsidR="004D4B90" w:rsidRPr="00A37108" w:rsidRDefault="004D4B90" w:rsidP="004D4B90">
            <w:pPr>
              <w:tabs>
                <w:tab w:val="left" w:pos="773"/>
                <w:tab w:val="center" w:pos="5383"/>
              </w:tabs>
              <w:spacing w:after="120"/>
              <w:jc w:val="both"/>
              <w:rPr>
                <w:rFonts w:ascii="Arial" w:eastAsia="Cambria" w:hAnsi="Arial" w:cs="Arial"/>
                <w:bCs/>
                <w:color w:val="000000"/>
                <w:sz w:val="20"/>
                <w:szCs w:val="20"/>
              </w:rPr>
            </w:pPr>
            <w:r w:rsidRPr="00A37108">
              <w:rPr>
                <w:rFonts w:ascii="Arial" w:eastAsia="Cambria" w:hAnsi="Arial" w:cs="Arial"/>
                <w:bCs/>
                <w:color w:val="000000"/>
                <w:sz w:val="20"/>
                <w:szCs w:val="20"/>
              </w:rPr>
              <w:t xml:space="preserve">Objectif opérationnel n°22 : favoriser l’accès à des soins coordonnés et de qualité en matière d’addiction au travers d’un réseau régional d’addictologie. - Schéma d'Organisation Médico-Sociale (SROMS) </w:t>
            </w:r>
          </w:p>
          <w:p w:rsidR="004D4B90" w:rsidRPr="002A6F14" w:rsidRDefault="004D4B90" w:rsidP="004D4B90">
            <w:pPr>
              <w:tabs>
                <w:tab w:val="left" w:pos="773"/>
                <w:tab w:val="center" w:pos="5383"/>
              </w:tabs>
              <w:spacing w:after="120"/>
              <w:jc w:val="both"/>
            </w:pPr>
            <w:r w:rsidRPr="00A37108">
              <w:rPr>
                <w:rFonts w:ascii="Arial" w:eastAsia="Cambria" w:hAnsi="Arial" w:cs="Arial"/>
                <w:bCs/>
                <w:color w:val="000000"/>
                <w:sz w:val="20"/>
                <w:szCs w:val="20"/>
              </w:rPr>
              <w:t>Orientation n°3 : Améliorer la coordination des parcours de soins / Diffuser des protocoles ou des recommandations de bonnes pratiques aux professionnels de santé) / Mettre en œuvre, le cas échéant, des référentiels ou des protocoles de prise en charge (CPOM ARS / SAOME)</w:t>
            </w:r>
            <w:r w:rsidRPr="002A6F14">
              <w:t xml:space="preserve"> </w:t>
            </w:r>
          </w:p>
        </w:tc>
      </w:tr>
      <w:tr w:rsidR="004D4B90" w:rsidRPr="00F91D9A" w:rsidTr="004D4B90">
        <w:trPr>
          <w:trHeight w:val="420"/>
        </w:trPr>
        <w:tc>
          <w:tcPr>
            <w:tcW w:w="10485" w:type="dxa"/>
            <w:gridSpan w:val="6"/>
            <w:shd w:val="clear" w:color="auto" w:fill="auto"/>
            <w:vAlign w:val="center"/>
          </w:tcPr>
          <w:p w:rsidR="004D4B90" w:rsidRDefault="004D4B90" w:rsidP="004D4B90">
            <w:pPr>
              <w:spacing w:before="120" w:after="120"/>
              <w:jc w:val="center"/>
              <w:rPr>
                <w:rFonts w:ascii="Arial" w:hAnsi="Arial" w:cs="Arial"/>
                <w:b/>
                <w:color w:val="00BFBA"/>
              </w:rPr>
            </w:pPr>
            <w:r w:rsidRPr="00E2527B">
              <w:rPr>
                <w:rFonts w:ascii="Arial" w:hAnsi="Arial" w:cs="Arial"/>
                <w:b/>
                <w:color w:val="00BFBA"/>
              </w:rPr>
              <w:lastRenderedPageBreak/>
              <w:t>DONNEES SANITAIRES LOCALES</w:t>
            </w:r>
            <w:r>
              <w:rPr>
                <w:rFonts w:ascii="Arial" w:hAnsi="Arial" w:cs="Arial"/>
                <w:b/>
                <w:color w:val="00BFBA"/>
              </w:rPr>
              <w:t xml:space="preserve"> </w:t>
            </w:r>
          </w:p>
          <w:p w:rsidR="004D4B90" w:rsidRDefault="004D4B90" w:rsidP="004D4B90">
            <w:pPr>
              <w:spacing w:before="120" w:after="120"/>
              <w:jc w:val="center"/>
              <w:rPr>
                <w:rFonts w:ascii="Arial" w:hAnsi="Arial" w:cs="Arial"/>
                <w:b/>
                <w:color w:val="00BFBA"/>
              </w:rPr>
            </w:pPr>
            <w:r>
              <w:rPr>
                <w:rFonts w:ascii="Arial" w:hAnsi="Arial" w:cs="Arial"/>
                <w:b/>
                <w:color w:val="00BFBA"/>
              </w:rPr>
              <w:t>(issues du Tableau de bord des addictions, 2013, ORS Réunion)</w:t>
            </w:r>
          </w:p>
          <w:p w:rsidR="004D4B90" w:rsidRPr="006202D4" w:rsidRDefault="004D4B90" w:rsidP="004D4B90">
            <w:pPr>
              <w:spacing w:before="120" w:after="120"/>
              <w:jc w:val="both"/>
              <w:rPr>
                <w:rFonts w:ascii="Arial" w:hAnsi="Arial" w:cs="Arial"/>
                <w:b/>
              </w:rPr>
            </w:pPr>
            <w:r w:rsidRPr="006202D4">
              <w:rPr>
                <w:rFonts w:ascii="Arial" w:hAnsi="Arial" w:cs="Arial"/>
                <w:b/>
              </w:rPr>
              <w:t>Ventes de tabac</w:t>
            </w:r>
            <w:r>
              <w:rPr>
                <w:rFonts w:ascii="Arial" w:hAnsi="Arial" w:cs="Arial"/>
                <w:b/>
              </w:rPr>
              <w:t> :</w:t>
            </w:r>
          </w:p>
          <w:p w:rsidR="004D4B90" w:rsidRPr="00E2527B" w:rsidRDefault="004D4B90" w:rsidP="004D4B90">
            <w:pPr>
              <w:jc w:val="both"/>
              <w:rPr>
                <w:rFonts w:ascii="Arial" w:eastAsia="Cambria" w:hAnsi="Arial" w:cs="Arial"/>
                <w:bCs/>
                <w:color w:val="000000"/>
                <w:sz w:val="20"/>
                <w:szCs w:val="20"/>
              </w:rPr>
            </w:pPr>
            <w:r>
              <w:rPr>
                <w:rFonts w:ascii="Arial" w:eastAsia="Cambria" w:hAnsi="Arial" w:cs="Arial"/>
                <w:bCs/>
                <w:color w:val="000000"/>
                <w:sz w:val="20"/>
                <w:szCs w:val="20"/>
              </w:rPr>
              <w:t xml:space="preserve">- </w:t>
            </w:r>
            <w:r w:rsidRPr="00E2527B">
              <w:rPr>
                <w:rFonts w:ascii="Arial" w:eastAsia="Cambria" w:hAnsi="Arial" w:cs="Arial"/>
                <w:bCs/>
                <w:color w:val="000000"/>
                <w:sz w:val="20"/>
                <w:szCs w:val="20"/>
              </w:rPr>
              <w:t xml:space="preserve"> Les ventes de tabac à La Réunion </w:t>
            </w:r>
            <w:r>
              <w:rPr>
                <w:rFonts w:ascii="Arial" w:eastAsia="Cambria" w:hAnsi="Arial" w:cs="Arial"/>
                <w:bCs/>
                <w:color w:val="000000"/>
                <w:sz w:val="20"/>
                <w:szCs w:val="20"/>
              </w:rPr>
              <w:t>ont baissé</w:t>
            </w:r>
            <w:r w:rsidRPr="00E2527B">
              <w:rPr>
                <w:rFonts w:ascii="Arial" w:eastAsia="Cambria" w:hAnsi="Arial" w:cs="Arial"/>
                <w:bCs/>
                <w:color w:val="000000"/>
                <w:sz w:val="20"/>
                <w:szCs w:val="20"/>
              </w:rPr>
              <w:t xml:space="preserve"> de 2% par rapport à 2011.</w:t>
            </w:r>
          </w:p>
          <w:p w:rsidR="004D4B90" w:rsidRPr="00E2527B" w:rsidRDefault="004D4B90" w:rsidP="004D4B90">
            <w:pPr>
              <w:jc w:val="both"/>
              <w:rPr>
                <w:rFonts w:ascii="Arial" w:eastAsia="Cambria" w:hAnsi="Arial" w:cs="Arial"/>
                <w:bCs/>
                <w:color w:val="000000"/>
                <w:sz w:val="20"/>
                <w:szCs w:val="20"/>
              </w:rPr>
            </w:pPr>
            <w:r>
              <w:rPr>
                <w:rFonts w:ascii="Arial" w:eastAsia="Cambria" w:hAnsi="Arial" w:cs="Arial"/>
                <w:bCs/>
                <w:color w:val="000000"/>
                <w:sz w:val="20"/>
                <w:szCs w:val="20"/>
              </w:rPr>
              <w:t>Ce recul est</w:t>
            </w:r>
            <w:r w:rsidRPr="00E2527B">
              <w:rPr>
                <w:rFonts w:ascii="Arial" w:eastAsia="Cambria" w:hAnsi="Arial" w:cs="Arial"/>
                <w:bCs/>
                <w:color w:val="000000"/>
                <w:sz w:val="20"/>
                <w:szCs w:val="20"/>
              </w:rPr>
              <w:t xml:space="preserve"> moins important qu’en métropole </w:t>
            </w:r>
            <w:r>
              <w:rPr>
                <w:rFonts w:ascii="Arial" w:eastAsia="Cambria" w:hAnsi="Arial" w:cs="Arial"/>
                <w:bCs/>
                <w:color w:val="000000"/>
                <w:sz w:val="20"/>
                <w:szCs w:val="20"/>
              </w:rPr>
              <w:t xml:space="preserve">où </w:t>
            </w:r>
            <w:r w:rsidRPr="00E2527B">
              <w:rPr>
                <w:rFonts w:ascii="Arial" w:eastAsia="Cambria" w:hAnsi="Arial" w:cs="Arial"/>
                <w:bCs/>
                <w:color w:val="000000"/>
                <w:sz w:val="20"/>
                <w:szCs w:val="20"/>
              </w:rPr>
              <w:t xml:space="preserve">les ventes de tabac ont aussi reculé en 2012 (recul de 3,4% par rapport à 2011) : il s’agit de la plus forte baisse des ventes de tabac et de cigarettes </w:t>
            </w:r>
            <w:r>
              <w:rPr>
                <w:rFonts w:ascii="Arial" w:eastAsia="Cambria" w:hAnsi="Arial" w:cs="Arial"/>
                <w:bCs/>
                <w:color w:val="000000"/>
                <w:sz w:val="20"/>
                <w:szCs w:val="20"/>
              </w:rPr>
              <w:t>depuis 2005</w:t>
            </w:r>
            <w:r w:rsidRPr="00E2527B">
              <w:rPr>
                <w:rFonts w:ascii="Arial" w:eastAsia="Cambria" w:hAnsi="Arial" w:cs="Arial"/>
                <w:bCs/>
                <w:color w:val="000000"/>
                <w:sz w:val="20"/>
                <w:szCs w:val="20"/>
              </w:rPr>
              <w:t>.</w:t>
            </w:r>
            <w:r w:rsidRPr="00E2527B">
              <w:rPr>
                <w:rFonts w:ascii="Arial" w:eastAsia="Cambria" w:hAnsi="Arial" w:cs="Arial"/>
                <w:bCs/>
                <w:color w:val="000000"/>
                <w:sz w:val="20"/>
                <w:szCs w:val="20"/>
              </w:rPr>
              <w:cr/>
            </w:r>
            <w:r>
              <w:rPr>
                <w:rFonts w:ascii="Arial" w:eastAsia="Cambria" w:hAnsi="Arial" w:cs="Arial"/>
                <w:bCs/>
                <w:color w:val="000000"/>
                <w:sz w:val="20"/>
                <w:szCs w:val="20"/>
              </w:rPr>
              <w:t xml:space="preserve">- </w:t>
            </w:r>
            <w:r w:rsidRPr="00E2527B">
              <w:rPr>
                <w:rFonts w:ascii="Arial" w:eastAsia="Cambria" w:hAnsi="Arial" w:cs="Arial"/>
                <w:bCs/>
                <w:color w:val="000000"/>
                <w:sz w:val="20"/>
                <w:szCs w:val="20"/>
              </w:rPr>
              <w:t xml:space="preserve">Les ventes de cigarettes sont en recul </w:t>
            </w:r>
            <w:r>
              <w:rPr>
                <w:rFonts w:ascii="Arial" w:eastAsia="Cambria" w:hAnsi="Arial" w:cs="Arial"/>
                <w:bCs/>
                <w:color w:val="000000"/>
                <w:sz w:val="20"/>
                <w:szCs w:val="20"/>
              </w:rPr>
              <w:t xml:space="preserve">en 2012 (soit -3%) mais moins important qu’en </w:t>
            </w:r>
            <w:r w:rsidRPr="00E2527B">
              <w:rPr>
                <w:rFonts w:ascii="Arial" w:eastAsia="Cambria" w:hAnsi="Arial" w:cs="Arial"/>
                <w:bCs/>
                <w:color w:val="000000"/>
                <w:sz w:val="20"/>
                <w:szCs w:val="20"/>
              </w:rPr>
              <w:t>France métropolitaine</w:t>
            </w:r>
            <w:r>
              <w:rPr>
                <w:rFonts w:ascii="Arial" w:eastAsia="Cambria" w:hAnsi="Arial" w:cs="Arial"/>
                <w:bCs/>
                <w:color w:val="000000"/>
                <w:sz w:val="20"/>
                <w:szCs w:val="20"/>
              </w:rPr>
              <w:t xml:space="preserve"> où elles</w:t>
            </w:r>
            <w:r w:rsidRPr="00E2527B">
              <w:rPr>
                <w:rFonts w:ascii="Arial" w:eastAsia="Cambria" w:hAnsi="Arial" w:cs="Arial"/>
                <w:bCs/>
                <w:color w:val="000000"/>
                <w:sz w:val="20"/>
                <w:szCs w:val="20"/>
              </w:rPr>
              <w:t xml:space="preserve"> ont baissé de 4,9%.</w:t>
            </w:r>
          </w:p>
          <w:p w:rsidR="004D4B90" w:rsidRPr="00E2527B" w:rsidRDefault="004D4B90" w:rsidP="004D4B90">
            <w:pPr>
              <w:jc w:val="both"/>
              <w:rPr>
                <w:rFonts w:ascii="Arial" w:eastAsia="Cambria" w:hAnsi="Arial" w:cs="Arial"/>
                <w:bCs/>
                <w:color w:val="000000"/>
                <w:sz w:val="20"/>
                <w:szCs w:val="20"/>
              </w:rPr>
            </w:pPr>
            <w:r>
              <w:rPr>
                <w:rFonts w:ascii="Arial" w:eastAsia="Cambria" w:hAnsi="Arial" w:cs="Arial"/>
                <w:bCs/>
                <w:color w:val="000000"/>
                <w:sz w:val="20"/>
                <w:szCs w:val="20"/>
              </w:rPr>
              <w:t xml:space="preserve">- </w:t>
            </w:r>
            <w:r w:rsidRPr="00E2527B">
              <w:rPr>
                <w:rFonts w:ascii="Arial" w:eastAsia="Cambria" w:hAnsi="Arial" w:cs="Arial"/>
                <w:bCs/>
                <w:color w:val="000000"/>
                <w:sz w:val="20"/>
                <w:szCs w:val="20"/>
              </w:rPr>
              <w:t>Les ventes des autres produits du tabac (majoritairement tabac à rouler) renouent avec une tendance à la hausse en 2012 sur l’île : soit une nouvelle h</w:t>
            </w:r>
            <w:r>
              <w:rPr>
                <w:rFonts w:ascii="Arial" w:eastAsia="Cambria" w:hAnsi="Arial" w:cs="Arial"/>
                <w:bCs/>
                <w:color w:val="000000"/>
                <w:sz w:val="20"/>
                <w:szCs w:val="20"/>
              </w:rPr>
              <w:t>ausse de 20% entre 2011 et 2012 (plus importante qu’en métropole +6% en 2012</w:t>
            </w:r>
            <w:r>
              <w:rPr>
                <w:rFonts w:ascii="Arial" w:eastAsia="Cambria" w:hAnsi="Arial" w:cs="Arial"/>
                <w:bCs/>
                <w:color w:val="000000"/>
                <w:sz w:val="20"/>
                <w:szCs w:val="20"/>
              </w:rPr>
              <w:t>.</w:t>
            </w:r>
          </w:p>
          <w:p w:rsidR="004D4B90" w:rsidRPr="004D4B90" w:rsidRDefault="004D4B90" w:rsidP="004D4B90">
            <w:pPr>
              <w:jc w:val="both"/>
              <w:rPr>
                <w:rFonts w:ascii="Arial" w:eastAsia="Cambria" w:hAnsi="Arial" w:cs="Arial"/>
                <w:bCs/>
                <w:i/>
                <w:color w:val="000000"/>
                <w:sz w:val="20"/>
                <w:szCs w:val="20"/>
              </w:rPr>
            </w:pPr>
            <w:r w:rsidRPr="001E203A">
              <w:rPr>
                <w:rFonts w:ascii="Arial" w:eastAsia="Cambria" w:hAnsi="Arial" w:cs="Arial"/>
                <w:bCs/>
                <w:i/>
                <w:color w:val="000000"/>
                <w:sz w:val="20"/>
                <w:szCs w:val="20"/>
              </w:rPr>
              <w:t>REMARQUE METHODOLOGIQUE</w:t>
            </w:r>
            <w:r>
              <w:rPr>
                <w:rFonts w:ascii="Arial" w:eastAsia="Cambria" w:hAnsi="Arial" w:cs="Arial"/>
                <w:bCs/>
                <w:i/>
                <w:color w:val="000000"/>
                <w:sz w:val="20"/>
                <w:szCs w:val="20"/>
              </w:rPr>
              <w:t xml:space="preserve"> : </w:t>
            </w:r>
            <w:r w:rsidRPr="001E203A">
              <w:rPr>
                <w:rFonts w:ascii="Arial" w:eastAsia="Cambria" w:hAnsi="Arial" w:cs="Arial"/>
                <w:bCs/>
                <w:i/>
                <w:color w:val="000000"/>
                <w:sz w:val="20"/>
                <w:szCs w:val="20"/>
              </w:rPr>
              <w:t xml:space="preserve">Ne sont pas comptabilisés les ventes de produits issus de la contrebande ou des achats en </w:t>
            </w:r>
            <w:proofErr w:type="spellStart"/>
            <w:r w:rsidRPr="001E203A">
              <w:rPr>
                <w:rFonts w:ascii="Arial" w:eastAsia="Cambria" w:hAnsi="Arial" w:cs="Arial"/>
                <w:bCs/>
                <w:i/>
                <w:color w:val="000000"/>
                <w:sz w:val="20"/>
                <w:szCs w:val="20"/>
              </w:rPr>
              <w:t>duty</w:t>
            </w:r>
            <w:proofErr w:type="spellEnd"/>
            <w:r w:rsidRPr="001E203A">
              <w:rPr>
                <w:rFonts w:ascii="Arial" w:eastAsia="Cambria" w:hAnsi="Arial" w:cs="Arial"/>
                <w:bCs/>
                <w:i/>
                <w:color w:val="000000"/>
                <w:sz w:val="20"/>
                <w:szCs w:val="20"/>
              </w:rPr>
              <w:t xml:space="preserve"> free et hors département.</w:t>
            </w:r>
            <w:bookmarkStart w:id="0" w:name="_GoBack"/>
            <w:bookmarkEnd w:id="0"/>
          </w:p>
          <w:p w:rsidR="004D4B90" w:rsidRDefault="004D4B90" w:rsidP="004D4B90">
            <w:pPr>
              <w:jc w:val="both"/>
              <w:rPr>
                <w:rFonts w:ascii="Arial" w:hAnsi="Arial" w:cs="Arial"/>
                <w:b/>
              </w:rPr>
            </w:pPr>
            <w:r w:rsidRPr="004D51A3">
              <w:rPr>
                <w:rFonts w:ascii="Arial" w:hAnsi="Arial" w:cs="Arial"/>
                <w:b/>
              </w:rPr>
              <w:t xml:space="preserve">Chez les jeunes : </w:t>
            </w:r>
          </w:p>
          <w:p w:rsidR="004D4B90" w:rsidRPr="001E203A" w:rsidRDefault="004D4B90" w:rsidP="004D4B90">
            <w:pPr>
              <w:jc w:val="both"/>
              <w:rPr>
                <w:rFonts w:ascii="Arial" w:hAnsi="Arial" w:cs="Arial"/>
                <w:b/>
              </w:rPr>
            </w:pPr>
            <w:r>
              <w:rPr>
                <w:rFonts w:ascii="Arial" w:eastAsia="Cambria" w:hAnsi="Arial" w:cs="Arial"/>
                <w:bCs/>
                <w:color w:val="000000"/>
                <w:sz w:val="20"/>
                <w:szCs w:val="20"/>
              </w:rPr>
              <w:t>Consommation préoccupante chez les jeunes : expérimentation fréquente (sans différence entre les sexes), usages quotidien précoce et pratiques quotidiennes paraissant stagner chez les jeunes de 17-18 ans.</w:t>
            </w:r>
          </w:p>
          <w:p w:rsidR="004D4B90" w:rsidRPr="00E2527B" w:rsidRDefault="004D4B90" w:rsidP="004D4B90">
            <w:pPr>
              <w:jc w:val="both"/>
              <w:rPr>
                <w:rFonts w:ascii="Arial" w:eastAsia="Cambria" w:hAnsi="Arial" w:cs="Arial"/>
                <w:bCs/>
                <w:color w:val="000000"/>
                <w:sz w:val="20"/>
                <w:szCs w:val="20"/>
              </w:rPr>
            </w:pPr>
          </w:p>
          <w:p w:rsidR="004D4B90" w:rsidRPr="006202D4" w:rsidRDefault="004D4B90" w:rsidP="004D4B90">
            <w:pPr>
              <w:jc w:val="both"/>
              <w:rPr>
                <w:rFonts w:ascii="Arial" w:hAnsi="Arial" w:cs="Arial"/>
                <w:b/>
              </w:rPr>
            </w:pPr>
            <w:r w:rsidRPr="006202D4">
              <w:rPr>
                <w:rFonts w:ascii="Arial" w:hAnsi="Arial" w:cs="Arial"/>
                <w:b/>
              </w:rPr>
              <w:t>Mortalité liée au tabagisme</w:t>
            </w:r>
            <w:r>
              <w:rPr>
                <w:rFonts w:ascii="Arial" w:hAnsi="Arial" w:cs="Arial"/>
                <w:b/>
              </w:rPr>
              <w:t> :</w:t>
            </w:r>
          </w:p>
          <w:p w:rsidR="004D4B90" w:rsidRPr="006202D4" w:rsidRDefault="004D4B90" w:rsidP="004D4B90">
            <w:pPr>
              <w:jc w:val="both"/>
              <w:rPr>
                <w:rFonts w:ascii="Arial" w:eastAsia="Cambria" w:hAnsi="Arial" w:cs="Arial"/>
                <w:bCs/>
                <w:color w:val="000000"/>
                <w:sz w:val="20"/>
                <w:szCs w:val="20"/>
              </w:rPr>
            </w:pPr>
            <w:r w:rsidRPr="006202D4">
              <w:rPr>
                <w:rFonts w:ascii="Arial" w:eastAsia="Cambria" w:hAnsi="Arial" w:cs="Arial"/>
                <w:bCs/>
                <w:color w:val="000000"/>
                <w:sz w:val="20"/>
                <w:szCs w:val="20"/>
              </w:rPr>
              <w:t>►Près de 580 décès annuels liés au tabac</w:t>
            </w:r>
            <w:r>
              <w:rPr>
                <w:rFonts w:ascii="Arial" w:eastAsia="Cambria" w:hAnsi="Arial" w:cs="Arial"/>
                <w:bCs/>
                <w:color w:val="000000"/>
                <w:sz w:val="20"/>
                <w:szCs w:val="20"/>
              </w:rPr>
              <w:t xml:space="preserve">, </w:t>
            </w:r>
            <w:r w:rsidRPr="006202D4">
              <w:rPr>
                <w:rFonts w:ascii="Arial" w:eastAsia="Cambria" w:hAnsi="Arial" w:cs="Arial"/>
                <w:bCs/>
                <w:color w:val="000000"/>
                <w:sz w:val="20"/>
                <w:szCs w:val="20"/>
              </w:rPr>
              <w:t>des hommes dans 2 décès sur 3 (67%).</w:t>
            </w:r>
          </w:p>
          <w:p w:rsidR="004D4B90" w:rsidRPr="006202D4" w:rsidRDefault="004D4B90" w:rsidP="004D4B90">
            <w:pPr>
              <w:jc w:val="both"/>
              <w:rPr>
                <w:rFonts w:ascii="Arial" w:eastAsia="Cambria" w:hAnsi="Arial" w:cs="Arial"/>
                <w:bCs/>
                <w:color w:val="000000"/>
                <w:sz w:val="20"/>
                <w:szCs w:val="20"/>
              </w:rPr>
            </w:pPr>
            <w:r w:rsidRPr="006202D4">
              <w:rPr>
                <w:rFonts w:ascii="Arial" w:eastAsia="Cambria" w:hAnsi="Arial" w:cs="Arial"/>
                <w:bCs/>
                <w:color w:val="000000"/>
                <w:sz w:val="20"/>
                <w:szCs w:val="20"/>
              </w:rPr>
              <w:t>Les décès par cardiopathies ischémiques sont les plus fréquents (55%), devant les décès par cancers du larynx, de la trachée, des bronches et des poumons (32%) et les décès par bronchites chroniques et maladies pulmonaires obstructives (13%).</w:t>
            </w:r>
          </w:p>
          <w:p w:rsidR="004D4B90" w:rsidRPr="006202D4" w:rsidRDefault="004D4B90" w:rsidP="004D4B90">
            <w:pPr>
              <w:jc w:val="both"/>
              <w:rPr>
                <w:rFonts w:ascii="Arial" w:eastAsia="Cambria" w:hAnsi="Arial" w:cs="Arial"/>
                <w:bCs/>
                <w:color w:val="000000"/>
                <w:sz w:val="20"/>
                <w:szCs w:val="20"/>
              </w:rPr>
            </w:pPr>
            <w:r w:rsidRPr="006202D4">
              <w:rPr>
                <w:rFonts w:ascii="Arial" w:eastAsia="Cambria" w:hAnsi="Arial" w:cs="Arial"/>
                <w:bCs/>
                <w:color w:val="000000"/>
                <w:sz w:val="20"/>
                <w:szCs w:val="20"/>
              </w:rPr>
              <w:t>Ces décès liés au tabagisme représentent, de manière stable, 14% de l’ensemble des décès sur l’île.</w:t>
            </w:r>
          </w:p>
          <w:p w:rsidR="004D4B90" w:rsidRPr="006202D4" w:rsidRDefault="004D4B90" w:rsidP="004D4B90">
            <w:pPr>
              <w:jc w:val="both"/>
              <w:rPr>
                <w:rFonts w:ascii="Arial" w:eastAsia="Cambria" w:hAnsi="Arial" w:cs="Arial"/>
                <w:bCs/>
                <w:color w:val="000000"/>
                <w:sz w:val="20"/>
                <w:szCs w:val="20"/>
              </w:rPr>
            </w:pPr>
            <w:r w:rsidRPr="006202D4">
              <w:rPr>
                <w:rFonts w:ascii="Arial" w:eastAsia="Cambria" w:hAnsi="Arial" w:cs="Arial"/>
                <w:bCs/>
                <w:color w:val="000000"/>
                <w:sz w:val="20"/>
                <w:szCs w:val="20"/>
              </w:rPr>
              <w:t>Le tabac représente la 1ère cause de décès par cancer : 18% des décès par cancer sont localisés au niveau du larynx, de la trachée, des bronches et du poumon sur la période 2008-2010.</w:t>
            </w:r>
          </w:p>
          <w:p w:rsidR="004D4B90" w:rsidRPr="006202D4" w:rsidRDefault="004D4B90" w:rsidP="004D4B90">
            <w:pPr>
              <w:jc w:val="both"/>
              <w:rPr>
                <w:rFonts w:ascii="Arial" w:eastAsia="Cambria" w:hAnsi="Arial" w:cs="Arial"/>
                <w:bCs/>
                <w:color w:val="000000"/>
                <w:sz w:val="20"/>
                <w:szCs w:val="20"/>
              </w:rPr>
            </w:pPr>
            <w:r w:rsidRPr="006202D4">
              <w:rPr>
                <w:rFonts w:ascii="Arial" w:eastAsia="Cambria" w:hAnsi="Arial" w:cs="Arial"/>
                <w:bCs/>
                <w:color w:val="000000"/>
                <w:sz w:val="20"/>
                <w:szCs w:val="20"/>
              </w:rPr>
              <w:t>► Un tiers des décès liés au tabagisme survient avant l’âge de 65 ans :</w:t>
            </w:r>
            <w:r>
              <w:rPr>
                <w:rFonts w:ascii="Arial" w:eastAsia="Cambria" w:hAnsi="Arial" w:cs="Arial"/>
                <w:bCs/>
                <w:color w:val="000000"/>
                <w:sz w:val="20"/>
                <w:szCs w:val="20"/>
              </w:rPr>
              <w:t xml:space="preserve"> d</w:t>
            </w:r>
            <w:r w:rsidRPr="006202D4">
              <w:rPr>
                <w:rFonts w:ascii="Arial" w:eastAsia="Cambria" w:hAnsi="Arial" w:cs="Arial"/>
                <w:bCs/>
                <w:color w:val="000000"/>
                <w:sz w:val="20"/>
                <w:szCs w:val="20"/>
              </w:rPr>
              <w:t xml:space="preserve">ans 9 cas sur 10, les décès prématurés liés au tabac concernent des hommes. </w:t>
            </w:r>
          </w:p>
          <w:p w:rsidR="004D4B90" w:rsidRPr="006202D4" w:rsidRDefault="004D4B90" w:rsidP="004D4B90">
            <w:pPr>
              <w:jc w:val="both"/>
              <w:rPr>
                <w:rFonts w:ascii="Arial" w:eastAsia="Cambria" w:hAnsi="Arial" w:cs="Arial"/>
                <w:bCs/>
                <w:color w:val="000000"/>
                <w:sz w:val="20"/>
                <w:szCs w:val="20"/>
              </w:rPr>
            </w:pPr>
            <w:r w:rsidRPr="006202D4">
              <w:rPr>
                <w:rFonts w:ascii="Arial" w:eastAsia="Cambria" w:hAnsi="Arial" w:cs="Arial"/>
                <w:bCs/>
                <w:color w:val="000000"/>
                <w:sz w:val="20"/>
                <w:szCs w:val="20"/>
              </w:rPr>
              <w:t>► Sur la période 2008-2010, le taux standardisé régional de mortalité liée au tabagisme est supérieur au taux observé en métropole.</w:t>
            </w:r>
          </w:p>
          <w:p w:rsidR="004D4B90" w:rsidRPr="006202D4" w:rsidRDefault="004D4B90" w:rsidP="004D4B90">
            <w:pPr>
              <w:jc w:val="both"/>
              <w:rPr>
                <w:rFonts w:ascii="Arial" w:eastAsia="Cambria" w:hAnsi="Arial" w:cs="Arial"/>
                <w:bCs/>
                <w:color w:val="000000"/>
                <w:sz w:val="20"/>
                <w:szCs w:val="20"/>
              </w:rPr>
            </w:pPr>
            <w:r w:rsidRPr="006202D4">
              <w:rPr>
                <w:rFonts w:ascii="Arial" w:eastAsia="Cambria" w:hAnsi="Arial" w:cs="Arial"/>
                <w:bCs/>
                <w:color w:val="000000"/>
                <w:sz w:val="20"/>
                <w:szCs w:val="20"/>
              </w:rPr>
              <w:t>Le différentiel Réunion/métropole est aggravé chez les femmes : +26% vs +15% chez les hommes.</w:t>
            </w:r>
          </w:p>
          <w:p w:rsidR="004D4B90" w:rsidRDefault="004D4B90" w:rsidP="004D4B90">
            <w:pPr>
              <w:jc w:val="both"/>
              <w:rPr>
                <w:rFonts w:ascii="Arial" w:eastAsia="Cambria" w:hAnsi="Arial" w:cs="Arial"/>
                <w:bCs/>
                <w:color w:val="000000"/>
                <w:sz w:val="20"/>
                <w:szCs w:val="20"/>
              </w:rPr>
            </w:pPr>
            <w:r w:rsidRPr="006202D4">
              <w:rPr>
                <w:rFonts w:ascii="Arial" w:eastAsia="Cambria" w:hAnsi="Arial" w:cs="Arial"/>
                <w:bCs/>
                <w:color w:val="000000"/>
                <w:sz w:val="20"/>
                <w:szCs w:val="20"/>
              </w:rPr>
              <w:t>► Le taux standardisé de mortalité directement liée au tabagisme est stable à La Réunion sur la période 2008-2010 (quel que soit le sexe) alors qu’il poursuit sa baisse en métropole. Néanmoins cette évolution globale masque des variations selon la pathologie.</w:t>
            </w:r>
          </w:p>
          <w:p w:rsidR="004D4B90" w:rsidRDefault="004D4B90" w:rsidP="004D4B90">
            <w:pPr>
              <w:jc w:val="both"/>
              <w:rPr>
                <w:rFonts w:ascii="Arial" w:eastAsia="Cambria" w:hAnsi="Arial" w:cs="Arial"/>
                <w:bCs/>
                <w:color w:val="000000"/>
                <w:sz w:val="20"/>
                <w:szCs w:val="20"/>
              </w:rPr>
            </w:pPr>
          </w:p>
          <w:p w:rsidR="004D4B90" w:rsidRPr="00B3459A" w:rsidRDefault="004D4B90" w:rsidP="004D4B90">
            <w:pPr>
              <w:jc w:val="both"/>
              <w:rPr>
                <w:rFonts w:ascii="Arial" w:hAnsi="Arial" w:cs="Arial"/>
                <w:b/>
              </w:rPr>
            </w:pPr>
            <w:r w:rsidRPr="00B3459A">
              <w:rPr>
                <w:rFonts w:ascii="Arial" w:hAnsi="Arial" w:cs="Arial"/>
                <w:b/>
              </w:rPr>
              <w:t>Ventes de traitements pour l’arrêt du tabac en 2012</w:t>
            </w:r>
          </w:p>
          <w:p w:rsidR="004D4B90" w:rsidRPr="00B3459A" w:rsidRDefault="004D4B90" w:rsidP="004D4B90">
            <w:pPr>
              <w:jc w:val="both"/>
              <w:rPr>
                <w:rFonts w:ascii="Arial" w:eastAsia="Cambria" w:hAnsi="Arial" w:cs="Arial"/>
                <w:bCs/>
                <w:color w:val="000000"/>
                <w:sz w:val="20"/>
                <w:szCs w:val="20"/>
              </w:rPr>
            </w:pPr>
            <w:r w:rsidRPr="00B3459A">
              <w:rPr>
                <w:rFonts w:ascii="Arial" w:eastAsia="Cambria" w:hAnsi="Arial" w:cs="Arial"/>
                <w:bCs/>
                <w:color w:val="000000"/>
                <w:sz w:val="20"/>
                <w:szCs w:val="20"/>
              </w:rPr>
              <w:t>Sur l’année 2012, on compte plus de 4 500 « patients traités » pour leur tabagisme contre près de 4 200 en 2011. Les ventes de traitements pour l’arrêt du tabac enregistrent donc une hausse de 8% en 2012 à La Réunion.</w:t>
            </w:r>
          </w:p>
          <w:p w:rsidR="004D4B90" w:rsidRPr="00B3459A" w:rsidRDefault="004D4B90" w:rsidP="004D4B90">
            <w:pPr>
              <w:jc w:val="both"/>
              <w:rPr>
                <w:rFonts w:ascii="Arial" w:eastAsia="Cambria" w:hAnsi="Arial" w:cs="Arial"/>
                <w:bCs/>
                <w:color w:val="000000"/>
                <w:sz w:val="20"/>
                <w:szCs w:val="20"/>
              </w:rPr>
            </w:pPr>
            <w:r w:rsidRPr="00B3459A">
              <w:rPr>
                <w:rFonts w:ascii="Arial" w:eastAsia="Cambria" w:hAnsi="Arial" w:cs="Arial"/>
                <w:bCs/>
                <w:color w:val="000000"/>
                <w:sz w:val="20"/>
                <w:szCs w:val="20"/>
              </w:rPr>
              <w:t>►</w:t>
            </w:r>
            <w:r>
              <w:rPr>
                <w:rFonts w:ascii="Arial" w:eastAsia="Cambria" w:hAnsi="Arial" w:cs="Arial"/>
                <w:bCs/>
                <w:color w:val="000000"/>
                <w:sz w:val="20"/>
                <w:szCs w:val="20"/>
              </w:rPr>
              <w:t xml:space="preserve"> Augmentation des</w:t>
            </w:r>
            <w:r w:rsidRPr="00B3459A">
              <w:rPr>
                <w:rFonts w:ascii="Arial" w:eastAsia="Cambria" w:hAnsi="Arial" w:cs="Arial"/>
                <w:bCs/>
                <w:color w:val="000000"/>
                <w:sz w:val="20"/>
                <w:szCs w:val="20"/>
              </w:rPr>
              <w:t xml:space="preserve"> ventes uniquement grâce aux substituts nicotiniques, sous formes orales ou transdermiques (+12%). </w:t>
            </w:r>
            <w:r>
              <w:rPr>
                <w:rFonts w:ascii="Arial" w:eastAsia="Cambria" w:hAnsi="Arial" w:cs="Arial"/>
                <w:bCs/>
                <w:color w:val="000000"/>
                <w:sz w:val="20"/>
                <w:szCs w:val="20"/>
              </w:rPr>
              <w:t>Diminution continue d</w:t>
            </w:r>
            <w:r w:rsidRPr="00B3459A">
              <w:rPr>
                <w:rFonts w:ascii="Arial" w:eastAsia="Cambria" w:hAnsi="Arial" w:cs="Arial"/>
                <w:bCs/>
                <w:color w:val="000000"/>
                <w:sz w:val="20"/>
                <w:szCs w:val="20"/>
              </w:rPr>
              <w:t>es ventes des 2 médic</w:t>
            </w:r>
            <w:r>
              <w:rPr>
                <w:rFonts w:ascii="Arial" w:eastAsia="Cambria" w:hAnsi="Arial" w:cs="Arial"/>
                <w:bCs/>
                <w:color w:val="000000"/>
                <w:sz w:val="20"/>
                <w:szCs w:val="20"/>
              </w:rPr>
              <w:t>aments (</w:t>
            </w:r>
            <w:proofErr w:type="spellStart"/>
            <w:r>
              <w:rPr>
                <w:rFonts w:ascii="Arial" w:eastAsia="Cambria" w:hAnsi="Arial" w:cs="Arial"/>
                <w:bCs/>
                <w:color w:val="000000"/>
                <w:sz w:val="20"/>
                <w:szCs w:val="20"/>
              </w:rPr>
              <w:t>champix</w:t>
            </w:r>
            <w:proofErr w:type="spellEnd"/>
            <w:r>
              <w:rPr>
                <w:rFonts w:ascii="Arial" w:eastAsia="Cambria" w:hAnsi="Arial" w:cs="Arial"/>
                <w:bCs/>
                <w:color w:val="000000"/>
                <w:sz w:val="20"/>
                <w:szCs w:val="20"/>
              </w:rPr>
              <w:t xml:space="preserve"> et </w:t>
            </w:r>
            <w:proofErr w:type="spellStart"/>
            <w:r>
              <w:rPr>
                <w:rFonts w:ascii="Arial" w:eastAsia="Cambria" w:hAnsi="Arial" w:cs="Arial"/>
                <w:bCs/>
                <w:color w:val="000000"/>
                <w:sz w:val="20"/>
                <w:szCs w:val="20"/>
              </w:rPr>
              <w:t>zyban</w:t>
            </w:r>
            <w:proofErr w:type="spellEnd"/>
            <w:r>
              <w:rPr>
                <w:rFonts w:ascii="Arial" w:eastAsia="Cambria" w:hAnsi="Arial" w:cs="Arial"/>
                <w:bCs/>
                <w:color w:val="000000"/>
                <w:sz w:val="20"/>
                <w:szCs w:val="20"/>
              </w:rPr>
              <w:t xml:space="preserve">) </w:t>
            </w:r>
            <w:proofErr w:type="gramStart"/>
            <w:r>
              <w:rPr>
                <w:rFonts w:ascii="Arial" w:eastAsia="Cambria" w:hAnsi="Arial" w:cs="Arial"/>
                <w:bCs/>
                <w:color w:val="000000"/>
                <w:sz w:val="20"/>
                <w:szCs w:val="20"/>
              </w:rPr>
              <w:t>( -</w:t>
            </w:r>
            <w:proofErr w:type="gramEnd"/>
            <w:r w:rsidRPr="00B3459A">
              <w:rPr>
                <w:rFonts w:ascii="Arial" w:eastAsia="Cambria" w:hAnsi="Arial" w:cs="Arial"/>
                <w:bCs/>
                <w:color w:val="000000"/>
                <w:sz w:val="20"/>
                <w:szCs w:val="20"/>
              </w:rPr>
              <w:t>26% entre 2011 et 2012</w:t>
            </w:r>
            <w:r>
              <w:rPr>
                <w:rFonts w:ascii="Arial" w:eastAsia="Cambria" w:hAnsi="Arial" w:cs="Arial"/>
                <w:bCs/>
                <w:color w:val="000000"/>
                <w:sz w:val="20"/>
                <w:szCs w:val="20"/>
              </w:rPr>
              <w:t xml:space="preserve"> pour le </w:t>
            </w:r>
            <w:proofErr w:type="spellStart"/>
            <w:r>
              <w:rPr>
                <w:rFonts w:ascii="Arial" w:eastAsia="Cambria" w:hAnsi="Arial" w:cs="Arial"/>
                <w:bCs/>
                <w:color w:val="000000"/>
                <w:sz w:val="20"/>
                <w:szCs w:val="20"/>
              </w:rPr>
              <w:t>champix</w:t>
            </w:r>
            <w:proofErr w:type="spellEnd"/>
            <w:r>
              <w:rPr>
                <w:rFonts w:ascii="Arial" w:eastAsia="Cambria" w:hAnsi="Arial" w:cs="Arial"/>
                <w:bCs/>
                <w:color w:val="000000"/>
                <w:sz w:val="20"/>
                <w:szCs w:val="20"/>
              </w:rPr>
              <w:t xml:space="preserve"> qui </w:t>
            </w:r>
            <w:r w:rsidRPr="00B3459A">
              <w:rPr>
                <w:rFonts w:ascii="Arial" w:eastAsia="Cambria" w:hAnsi="Arial" w:cs="Arial"/>
                <w:bCs/>
                <w:color w:val="000000"/>
                <w:sz w:val="20"/>
                <w:szCs w:val="20"/>
              </w:rPr>
              <w:t xml:space="preserve">ne représente plus que 6% des </w:t>
            </w:r>
            <w:r>
              <w:rPr>
                <w:rFonts w:ascii="Arial" w:eastAsia="Cambria" w:hAnsi="Arial" w:cs="Arial"/>
                <w:bCs/>
                <w:color w:val="000000"/>
                <w:sz w:val="20"/>
                <w:szCs w:val="20"/>
              </w:rPr>
              <w:t>traitements, et – 43% p</w:t>
            </w:r>
            <w:r w:rsidRPr="00B3459A">
              <w:rPr>
                <w:rFonts w:ascii="Arial" w:eastAsia="Cambria" w:hAnsi="Arial" w:cs="Arial"/>
                <w:bCs/>
                <w:color w:val="000000"/>
                <w:sz w:val="20"/>
                <w:szCs w:val="20"/>
              </w:rPr>
              <w:t>our les vente</w:t>
            </w:r>
            <w:r>
              <w:rPr>
                <w:rFonts w:ascii="Arial" w:eastAsia="Cambria" w:hAnsi="Arial" w:cs="Arial"/>
                <w:bCs/>
                <w:color w:val="000000"/>
                <w:sz w:val="20"/>
                <w:szCs w:val="20"/>
              </w:rPr>
              <w:t xml:space="preserve">s de </w:t>
            </w:r>
            <w:proofErr w:type="spellStart"/>
            <w:r>
              <w:rPr>
                <w:rFonts w:ascii="Arial" w:eastAsia="Cambria" w:hAnsi="Arial" w:cs="Arial"/>
                <w:bCs/>
                <w:color w:val="000000"/>
                <w:sz w:val="20"/>
                <w:szCs w:val="20"/>
              </w:rPr>
              <w:t>zyban</w:t>
            </w:r>
            <w:proofErr w:type="spellEnd"/>
            <w:r>
              <w:rPr>
                <w:rFonts w:ascii="Arial" w:eastAsia="Cambria" w:hAnsi="Arial" w:cs="Arial"/>
                <w:bCs/>
                <w:color w:val="000000"/>
                <w:sz w:val="20"/>
                <w:szCs w:val="20"/>
              </w:rPr>
              <w:t>).</w:t>
            </w:r>
            <w:r w:rsidRPr="00B3459A">
              <w:rPr>
                <w:rFonts w:ascii="Arial" w:eastAsia="Cambria" w:hAnsi="Arial" w:cs="Arial"/>
                <w:bCs/>
                <w:color w:val="000000"/>
                <w:sz w:val="20"/>
                <w:szCs w:val="20"/>
              </w:rPr>
              <w:t xml:space="preserve"> </w:t>
            </w:r>
          </w:p>
          <w:p w:rsidR="004D4B90" w:rsidRPr="00B3459A" w:rsidRDefault="004D4B90" w:rsidP="004D4B90">
            <w:pPr>
              <w:jc w:val="both"/>
              <w:rPr>
                <w:rFonts w:ascii="Arial" w:eastAsia="Cambria" w:hAnsi="Arial" w:cs="Arial"/>
                <w:bCs/>
                <w:color w:val="000000"/>
                <w:sz w:val="20"/>
                <w:szCs w:val="20"/>
              </w:rPr>
            </w:pPr>
            <w:r w:rsidRPr="00B3459A">
              <w:rPr>
                <w:rFonts w:ascii="Arial" w:eastAsia="Cambria" w:hAnsi="Arial" w:cs="Arial"/>
                <w:bCs/>
                <w:color w:val="000000"/>
                <w:sz w:val="20"/>
                <w:szCs w:val="20"/>
              </w:rPr>
              <w:t>► Les formes orales : traitements les plus vendus</w:t>
            </w:r>
            <w:r>
              <w:rPr>
                <w:rFonts w:ascii="Arial" w:eastAsia="Cambria" w:hAnsi="Arial" w:cs="Arial"/>
                <w:bCs/>
                <w:color w:val="000000"/>
                <w:sz w:val="20"/>
                <w:szCs w:val="20"/>
              </w:rPr>
              <w:t xml:space="preserve"> en métropole comme </w:t>
            </w:r>
            <w:r w:rsidRPr="00B3459A">
              <w:rPr>
                <w:rFonts w:ascii="Arial" w:eastAsia="Cambria" w:hAnsi="Arial" w:cs="Arial"/>
                <w:bCs/>
                <w:color w:val="000000"/>
                <w:sz w:val="20"/>
                <w:szCs w:val="20"/>
              </w:rPr>
              <w:t xml:space="preserve">sur l’île où 70% des ventes </w:t>
            </w:r>
            <w:r>
              <w:rPr>
                <w:rFonts w:ascii="Arial" w:eastAsia="Cambria" w:hAnsi="Arial" w:cs="Arial"/>
                <w:bCs/>
                <w:color w:val="000000"/>
                <w:sz w:val="20"/>
                <w:szCs w:val="20"/>
              </w:rPr>
              <w:t xml:space="preserve">à la Réunion </w:t>
            </w:r>
            <w:r w:rsidRPr="00B3459A">
              <w:rPr>
                <w:rFonts w:ascii="Arial" w:eastAsia="Cambria" w:hAnsi="Arial" w:cs="Arial"/>
                <w:bCs/>
                <w:color w:val="000000"/>
                <w:sz w:val="20"/>
                <w:szCs w:val="20"/>
              </w:rPr>
              <w:t>correspondent à ce type de traitement.</w:t>
            </w:r>
          </w:p>
          <w:p w:rsidR="004D4B90" w:rsidRDefault="004D4B90" w:rsidP="004D4B90">
            <w:pPr>
              <w:jc w:val="both"/>
              <w:rPr>
                <w:rFonts w:ascii="Arial" w:eastAsia="Cambria" w:hAnsi="Arial" w:cs="Arial"/>
                <w:bCs/>
                <w:color w:val="000000"/>
                <w:sz w:val="20"/>
                <w:szCs w:val="20"/>
              </w:rPr>
            </w:pPr>
            <w:r w:rsidRPr="00B3459A">
              <w:rPr>
                <w:rFonts w:ascii="Arial" w:eastAsia="Cambria" w:hAnsi="Arial" w:cs="Arial"/>
                <w:bCs/>
                <w:color w:val="000000"/>
                <w:sz w:val="20"/>
                <w:szCs w:val="20"/>
              </w:rPr>
              <w:t>► Evolution similaire en métropole</w:t>
            </w:r>
          </w:p>
          <w:p w:rsidR="004D4B90" w:rsidRDefault="004D4B90" w:rsidP="004D4B90">
            <w:pPr>
              <w:jc w:val="both"/>
              <w:rPr>
                <w:rFonts w:ascii="Arial" w:eastAsia="Cambria" w:hAnsi="Arial" w:cs="Arial"/>
                <w:bCs/>
                <w:color w:val="000000"/>
                <w:sz w:val="20"/>
                <w:szCs w:val="20"/>
              </w:rPr>
            </w:pPr>
          </w:p>
          <w:p w:rsidR="004D4B90" w:rsidRPr="00B3459A" w:rsidRDefault="004D4B90" w:rsidP="004D4B90">
            <w:pPr>
              <w:jc w:val="both"/>
              <w:rPr>
                <w:rFonts w:ascii="Arial" w:eastAsia="Cambria" w:hAnsi="Arial" w:cs="Arial"/>
                <w:bCs/>
                <w:color w:val="000000"/>
                <w:sz w:val="20"/>
                <w:szCs w:val="20"/>
              </w:rPr>
            </w:pPr>
            <w:r w:rsidRPr="004D51A3">
              <w:rPr>
                <w:rFonts w:ascii="Arial" w:eastAsia="Cambria" w:hAnsi="Arial" w:cs="Arial"/>
                <w:bCs/>
                <w:color w:val="000000"/>
                <w:sz w:val="20"/>
                <w:szCs w:val="20"/>
              </w:rPr>
              <w:t>En 2010, le Conseil Général a délivré 2 628 boîtes de patch à la demande des structures hospitalières ou médico-sociales. Le nombre est quasi-stable par rapport à 2009 (-1%). Les principaux destinataires sont les CCAA (60% des boîtes délivrées en 2010).</w:t>
            </w:r>
          </w:p>
          <w:p w:rsidR="004D4B90" w:rsidRDefault="004D4B90" w:rsidP="004D4B90">
            <w:pPr>
              <w:jc w:val="both"/>
              <w:rPr>
                <w:rFonts w:ascii="Arial" w:eastAsia="Cambria" w:hAnsi="Arial" w:cs="Arial"/>
                <w:bCs/>
                <w:i/>
                <w:color w:val="000000"/>
                <w:sz w:val="20"/>
                <w:szCs w:val="20"/>
              </w:rPr>
            </w:pPr>
            <w:r w:rsidRPr="001E203A">
              <w:rPr>
                <w:rFonts w:ascii="Arial" w:eastAsia="Cambria" w:hAnsi="Arial" w:cs="Arial"/>
                <w:bCs/>
                <w:i/>
                <w:color w:val="000000"/>
                <w:sz w:val="20"/>
                <w:szCs w:val="20"/>
              </w:rPr>
              <w:lastRenderedPageBreak/>
              <w:t>REMARQUE : Les indicateurs locaux sur les ventes de traitement pour l’arrêt du tabac sont basés sur les données de vente des grossistes vers les pharmacies et non sur les ventes en pharmacies. Par conséquent, il faut rester prudent dans l’interprétation des résultats. Il peut notamment avoir une sous-estimation des ventes réelles car certaines pharmacies s’approvisionnent directement avec les laboratoires, sans passer par les grossistes répartiteurs.</w:t>
            </w:r>
            <w:r w:rsidRPr="001E203A">
              <w:rPr>
                <w:rFonts w:ascii="Arial" w:eastAsia="Cambria" w:hAnsi="Arial" w:cs="Arial"/>
                <w:bCs/>
                <w:i/>
                <w:color w:val="000000"/>
                <w:sz w:val="20"/>
                <w:szCs w:val="20"/>
              </w:rPr>
              <w:cr/>
            </w:r>
          </w:p>
          <w:p w:rsidR="004D4B90" w:rsidRPr="00591042" w:rsidRDefault="004D4B90" w:rsidP="004D4B90">
            <w:pPr>
              <w:jc w:val="both"/>
              <w:rPr>
                <w:rFonts w:ascii="Arial" w:hAnsi="Arial" w:cs="Arial"/>
                <w:b/>
              </w:rPr>
            </w:pPr>
            <w:r w:rsidRPr="00591042">
              <w:rPr>
                <w:rFonts w:ascii="Arial" w:hAnsi="Arial" w:cs="Arial"/>
                <w:b/>
              </w:rPr>
              <w:t>Hospitalisation :</w:t>
            </w:r>
          </w:p>
          <w:p w:rsidR="004D4B90" w:rsidRPr="00591042" w:rsidRDefault="004D4B90" w:rsidP="004D4B90">
            <w:pPr>
              <w:spacing w:after="120"/>
              <w:jc w:val="both"/>
              <w:rPr>
                <w:rFonts w:ascii="Arial" w:eastAsia="Cambria" w:hAnsi="Arial" w:cs="Arial"/>
                <w:bCs/>
                <w:color w:val="000000"/>
                <w:sz w:val="20"/>
                <w:szCs w:val="20"/>
              </w:rPr>
            </w:pPr>
            <w:r w:rsidRPr="00591042">
              <w:rPr>
                <w:rFonts w:ascii="Arial" w:eastAsia="Cambria" w:hAnsi="Arial" w:cs="Arial"/>
                <w:bCs/>
                <w:color w:val="000000"/>
                <w:sz w:val="20"/>
                <w:szCs w:val="20"/>
              </w:rPr>
              <w:t>Le coût d’une cure hospitalière de 2 semaines représente un coût 600€/jours, soit environ 10000€.</w:t>
            </w:r>
          </w:p>
          <w:p w:rsidR="004D4B90" w:rsidRPr="00B3459A" w:rsidRDefault="004D4B90" w:rsidP="004D4B90">
            <w:pPr>
              <w:jc w:val="both"/>
              <w:rPr>
                <w:rFonts w:ascii="Arial" w:hAnsi="Arial" w:cs="Arial"/>
                <w:b/>
              </w:rPr>
            </w:pPr>
            <w:r w:rsidRPr="00B3459A">
              <w:rPr>
                <w:rFonts w:ascii="Arial" w:hAnsi="Arial" w:cs="Arial"/>
                <w:b/>
              </w:rPr>
              <w:t>Système de prise en charge partielle mis en place par l’Assurance Maladie</w:t>
            </w:r>
          </w:p>
          <w:p w:rsidR="004D4B90" w:rsidRPr="00B3459A" w:rsidRDefault="004D4B90" w:rsidP="004D4B90">
            <w:pPr>
              <w:jc w:val="both"/>
              <w:rPr>
                <w:rFonts w:ascii="Arial" w:eastAsia="Cambria" w:hAnsi="Arial" w:cs="Arial"/>
                <w:bCs/>
                <w:color w:val="000000"/>
                <w:sz w:val="20"/>
                <w:szCs w:val="20"/>
              </w:rPr>
            </w:pPr>
            <w:r w:rsidRPr="00B3459A">
              <w:rPr>
                <w:rFonts w:ascii="Arial" w:eastAsia="Cambria" w:hAnsi="Arial" w:cs="Arial"/>
                <w:bCs/>
                <w:color w:val="000000"/>
                <w:sz w:val="20"/>
                <w:szCs w:val="20"/>
              </w:rPr>
              <w:t xml:space="preserve">Un système de prise en charge partielle (à hauteur de 50€ par an) des traitements pour l’arrêt du tabac a été mis en place par l’Assurance Maladie en février 2007. Depuis le 1er septembre 2011, le montant concernant les femmes enceintes a été triplé pour atteindre 150€. </w:t>
            </w:r>
          </w:p>
          <w:p w:rsidR="004D4B90" w:rsidRPr="00E2527B" w:rsidRDefault="004D4B90" w:rsidP="004D4B90">
            <w:pPr>
              <w:jc w:val="both"/>
              <w:rPr>
                <w:rFonts w:ascii="Arial" w:eastAsia="Cambria" w:hAnsi="Arial" w:cs="Arial"/>
                <w:bCs/>
                <w:color w:val="000000"/>
                <w:sz w:val="20"/>
                <w:szCs w:val="20"/>
              </w:rPr>
            </w:pPr>
            <w:r w:rsidRPr="00B3459A">
              <w:rPr>
                <w:rFonts w:ascii="Arial" w:eastAsia="Cambria" w:hAnsi="Arial" w:cs="Arial"/>
                <w:bCs/>
                <w:color w:val="000000"/>
                <w:sz w:val="20"/>
                <w:szCs w:val="20"/>
              </w:rPr>
              <w:t>En 2012, le nombre de forfaits pris en charge par la CGSS de La Réunion continue de régresser : 285 personnes ont bénéficié de ce dispositif sur l’année, contre un millier lors de l’année de lancement en 2007.</w:t>
            </w:r>
          </w:p>
        </w:tc>
      </w:tr>
      <w:tr w:rsidR="004D4B90" w:rsidRPr="00F91D9A" w:rsidTr="004D4B90">
        <w:trPr>
          <w:trHeight w:val="420"/>
        </w:trPr>
        <w:tc>
          <w:tcPr>
            <w:tcW w:w="10485" w:type="dxa"/>
            <w:gridSpan w:val="6"/>
            <w:shd w:val="clear" w:color="auto" w:fill="auto"/>
            <w:vAlign w:val="center"/>
          </w:tcPr>
          <w:p w:rsidR="004D4B90" w:rsidRPr="003F5BAE" w:rsidRDefault="004D4B90" w:rsidP="004D4B90">
            <w:pPr>
              <w:pStyle w:val="Titre3"/>
              <w:spacing w:before="120" w:after="120"/>
              <w:rPr>
                <w:color w:val="00BFBA"/>
                <w:sz w:val="24"/>
              </w:rPr>
            </w:pPr>
            <w:r w:rsidRPr="003F5BAE">
              <w:rPr>
                <w:color w:val="00BFBA"/>
                <w:sz w:val="24"/>
              </w:rPr>
              <w:lastRenderedPageBreak/>
              <w:t>VISION / FINALITE</w:t>
            </w:r>
          </w:p>
          <w:p w:rsidR="004D4B90" w:rsidRPr="00591042" w:rsidRDefault="004D4B90" w:rsidP="004D4B90">
            <w:pPr>
              <w:spacing w:after="120"/>
              <w:jc w:val="center"/>
              <w:rPr>
                <w:rFonts w:ascii="Arial" w:hAnsi="Arial" w:cs="Arial"/>
                <w:color w:val="000000"/>
                <w:sz w:val="20"/>
                <w:szCs w:val="20"/>
              </w:rPr>
            </w:pPr>
            <w:r>
              <w:rPr>
                <w:rFonts w:ascii="Arial" w:hAnsi="Arial" w:cs="Arial"/>
                <w:sz w:val="20"/>
                <w:szCs w:val="20"/>
              </w:rPr>
              <w:t xml:space="preserve">Elargissement de l’offre de soin : par le biais du PPRSP, un plus grand nombre de patient </w:t>
            </w:r>
            <w:r w:rsidRPr="00591042">
              <w:rPr>
                <w:rFonts w:ascii="Arial" w:hAnsi="Arial" w:cs="Arial"/>
                <w:sz w:val="20"/>
                <w:szCs w:val="20"/>
              </w:rPr>
              <w:t xml:space="preserve">souhaitant arrêter de fumer </w:t>
            </w:r>
            <w:r>
              <w:rPr>
                <w:rFonts w:ascii="Arial" w:hAnsi="Arial" w:cs="Arial"/>
                <w:sz w:val="20"/>
                <w:szCs w:val="20"/>
              </w:rPr>
              <w:t xml:space="preserve">bénéficieront d’un </w:t>
            </w:r>
            <w:r w:rsidRPr="00591042">
              <w:rPr>
                <w:rFonts w:ascii="Arial" w:hAnsi="Arial" w:cs="Arial"/>
                <w:sz w:val="20"/>
                <w:szCs w:val="20"/>
              </w:rPr>
              <w:t xml:space="preserve">accompagnement </w:t>
            </w:r>
            <w:r w:rsidRPr="00591042">
              <w:rPr>
                <w:rFonts w:ascii="Arial" w:hAnsi="Arial" w:cs="Arial"/>
                <w:color w:val="000000"/>
                <w:sz w:val="20"/>
                <w:szCs w:val="20"/>
              </w:rPr>
              <w:t xml:space="preserve">personnalisé </w:t>
            </w:r>
            <w:r w:rsidRPr="00591042">
              <w:rPr>
                <w:rFonts w:ascii="Arial" w:hAnsi="Arial" w:cs="Arial"/>
                <w:sz w:val="20"/>
                <w:szCs w:val="20"/>
              </w:rPr>
              <w:t xml:space="preserve">dans leur processus de sevrage par leur pharmacien </w:t>
            </w:r>
            <w:r>
              <w:rPr>
                <w:rFonts w:ascii="Arial" w:hAnsi="Arial" w:cs="Arial"/>
                <w:sz w:val="20"/>
                <w:szCs w:val="20"/>
              </w:rPr>
              <w:t>d’officine</w:t>
            </w:r>
          </w:p>
        </w:tc>
      </w:tr>
      <w:tr w:rsidR="004D4B90" w:rsidRPr="00F91D9A" w:rsidTr="004D4B90">
        <w:trPr>
          <w:trHeight w:val="420"/>
        </w:trPr>
        <w:tc>
          <w:tcPr>
            <w:tcW w:w="10485" w:type="dxa"/>
            <w:gridSpan w:val="6"/>
            <w:shd w:val="clear" w:color="auto" w:fill="auto"/>
            <w:vAlign w:val="center"/>
          </w:tcPr>
          <w:p w:rsidR="004D4B90" w:rsidRPr="003F5BAE" w:rsidRDefault="004D4B90" w:rsidP="004D4B90">
            <w:pPr>
              <w:pStyle w:val="Titre3"/>
              <w:spacing w:before="120" w:after="120"/>
              <w:rPr>
                <w:color w:val="00BFBA"/>
                <w:sz w:val="24"/>
              </w:rPr>
            </w:pPr>
            <w:r w:rsidRPr="003F5BAE">
              <w:rPr>
                <w:color w:val="00BFBA"/>
                <w:sz w:val="24"/>
              </w:rPr>
              <w:t>OBJECTIFS GENERAUX</w:t>
            </w:r>
          </w:p>
          <w:p w:rsidR="004D4B90" w:rsidRDefault="004D4B90" w:rsidP="004D4B90">
            <w:pPr>
              <w:tabs>
                <w:tab w:val="left" w:pos="773"/>
                <w:tab w:val="center" w:pos="5383"/>
              </w:tabs>
              <w:spacing w:after="120"/>
              <w:jc w:val="center"/>
              <w:rPr>
                <w:rFonts w:ascii="Arial" w:hAnsi="Arial" w:cs="Arial"/>
                <w:sz w:val="20"/>
                <w:szCs w:val="20"/>
              </w:rPr>
            </w:pPr>
            <w:r w:rsidRPr="001442FC">
              <w:rPr>
                <w:rFonts w:ascii="Arial" w:hAnsi="Arial" w:cs="Arial"/>
                <w:sz w:val="20"/>
                <w:szCs w:val="20"/>
              </w:rPr>
              <w:t xml:space="preserve">Améliorer la réussite du sevrage </w:t>
            </w:r>
            <w:proofErr w:type="spellStart"/>
            <w:r w:rsidRPr="001442FC">
              <w:rPr>
                <w:rFonts w:ascii="Arial" w:hAnsi="Arial" w:cs="Arial"/>
                <w:sz w:val="20"/>
                <w:szCs w:val="20"/>
              </w:rPr>
              <w:t>tabacologique</w:t>
            </w:r>
            <w:proofErr w:type="spellEnd"/>
            <w:r w:rsidRPr="001442FC">
              <w:rPr>
                <w:rFonts w:ascii="Arial" w:hAnsi="Arial" w:cs="Arial"/>
                <w:sz w:val="20"/>
                <w:szCs w:val="20"/>
              </w:rPr>
              <w:t xml:space="preserve"> par un accompagnement personnalisé du pharmacien </w:t>
            </w:r>
          </w:p>
          <w:p w:rsidR="004D4B90" w:rsidRPr="004D4B90" w:rsidRDefault="004D4B90" w:rsidP="004D4B90">
            <w:pPr>
              <w:tabs>
                <w:tab w:val="left" w:pos="773"/>
                <w:tab w:val="center" w:pos="5383"/>
              </w:tabs>
              <w:spacing w:after="120"/>
              <w:jc w:val="center"/>
              <w:rPr>
                <w:rFonts w:ascii="Arial" w:hAnsi="Arial" w:cs="Arial"/>
                <w:sz w:val="20"/>
                <w:szCs w:val="20"/>
              </w:rPr>
            </w:pPr>
            <w:r w:rsidRPr="001442FC">
              <w:rPr>
                <w:rFonts w:ascii="Arial" w:hAnsi="Arial" w:cs="Arial"/>
                <w:sz w:val="20"/>
                <w:szCs w:val="20"/>
              </w:rPr>
              <w:t>Produire, expérimenter et généraliser un protocole de soins de Premier Recours (PPSPR)</w:t>
            </w:r>
            <w:r>
              <w:rPr>
                <w:rFonts w:ascii="Arial" w:hAnsi="Arial" w:cs="Arial"/>
                <w:sz w:val="20"/>
                <w:szCs w:val="20"/>
              </w:rPr>
              <w:t> :</w:t>
            </w:r>
            <w:r>
              <w:rPr>
                <w:rFonts w:ascii="Arial" w:hAnsi="Arial" w:cs="Arial"/>
                <w:sz w:val="20"/>
                <w:szCs w:val="20"/>
              </w:rPr>
              <w:t xml:space="preserve"> </w:t>
            </w:r>
            <w:r w:rsidRPr="00591042">
              <w:rPr>
                <w:rFonts w:ascii="Arial" w:hAnsi="Arial" w:cs="Arial"/>
                <w:color w:val="000000"/>
                <w:sz w:val="20"/>
                <w:szCs w:val="20"/>
              </w:rPr>
              <w:t>« Le sevrage tabagique en officine »</w:t>
            </w:r>
          </w:p>
        </w:tc>
      </w:tr>
      <w:tr w:rsidR="004D4B90" w:rsidRPr="00F91D9A" w:rsidTr="004D4B90">
        <w:trPr>
          <w:trHeight w:val="578"/>
        </w:trPr>
        <w:tc>
          <w:tcPr>
            <w:tcW w:w="10485" w:type="dxa"/>
            <w:gridSpan w:val="6"/>
            <w:shd w:val="clear" w:color="auto" w:fill="auto"/>
            <w:vAlign w:val="center"/>
          </w:tcPr>
          <w:p w:rsidR="004D4B90" w:rsidRPr="004D0123" w:rsidRDefault="004D4B90" w:rsidP="004D4B90">
            <w:pPr>
              <w:pStyle w:val="Titre3"/>
              <w:spacing w:before="120" w:after="120"/>
              <w:rPr>
                <w:color w:val="00BFBA"/>
                <w:sz w:val="24"/>
              </w:rPr>
            </w:pPr>
            <w:r w:rsidRPr="004D0123">
              <w:rPr>
                <w:color w:val="00BFBA"/>
                <w:sz w:val="24"/>
              </w:rPr>
              <w:t>OBJECTIF</w:t>
            </w:r>
            <w:r>
              <w:rPr>
                <w:color w:val="00BFBA"/>
                <w:sz w:val="24"/>
              </w:rPr>
              <w:t>S OPERATIONNELS</w:t>
            </w:r>
            <w:r w:rsidRPr="004D0123">
              <w:rPr>
                <w:color w:val="00BFBA"/>
                <w:sz w:val="24"/>
              </w:rPr>
              <w:t xml:space="preserve"> </w:t>
            </w:r>
            <w:r>
              <w:rPr>
                <w:color w:val="00BFBA"/>
                <w:sz w:val="24"/>
              </w:rPr>
              <w:t>et CALENDRIER</w:t>
            </w:r>
          </w:p>
          <w:p w:rsidR="004D4B90" w:rsidRPr="00591042" w:rsidRDefault="004D4B90" w:rsidP="004D4B90">
            <w:pPr>
              <w:pStyle w:val="Corpsdetexte21"/>
              <w:numPr>
                <w:ilvl w:val="0"/>
                <w:numId w:val="2"/>
              </w:numPr>
              <w:spacing w:after="120"/>
              <w:jc w:val="left"/>
              <w:rPr>
                <w:rFonts w:ascii="Arial" w:hAnsi="Arial" w:cs="Arial"/>
                <w:color w:val="000000"/>
                <w:sz w:val="20"/>
                <w:szCs w:val="20"/>
              </w:rPr>
            </w:pPr>
            <w:r w:rsidRPr="00591042">
              <w:rPr>
                <w:rFonts w:ascii="Arial" w:hAnsi="Arial" w:cs="Arial"/>
                <w:color w:val="000000"/>
                <w:sz w:val="20"/>
                <w:szCs w:val="20"/>
              </w:rPr>
              <w:t>Obtenir le soutien de l’ARS OI sur la démarche : septembre 2014</w:t>
            </w:r>
          </w:p>
          <w:p w:rsidR="004D4B90" w:rsidRPr="00591042" w:rsidRDefault="004D4B90" w:rsidP="004D4B90">
            <w:pPr>
              <w:pStyle w:val="Corpsdetexte21"/>
              <w:numPr>
                <w:ilvl w:val="0"/>
                <w:numId w:val="2"/>
              </w:numPr>
              <w:spacing w:after="120"/>
              <w:jc w:val="left"/>
              <w:rPr>
                <w:rFonts w:ascii="Arial" w:hAnsi="Arial" w:cs="Arial"/>
                <w:color w:val="000000"/>
                <w:sz w:val="20"/>
                <w:szCs w:val="20"/>
              </w:rPr>
            </w:pPr>
            <w:r w:rsidRPr="00591042">
              <w:rPr>
                <w:rFonts w:ascii="Arial" w:hAnsi="Arial" w:cs="Arial"/>
                <w:color w:val="000000"/>
                <w:sz w:val="20"/>
                <w:szCs w:val="20"/>
              </w:rPr>
              <w:t>Constituer un groupe de travail de pharmaciens volontaires intéressés pour travailler sur la production et expérimentation du PPSPR : septembre 2014</w:t>
            </w:r>
          </w:p>
          <w:p w:rsidR="004D4B90" w:rsidRPr="00591042" w:rsidRDefault="004D4B90" w:rsidP="004D4B90">
            <w:pPr>
              <w:pStyle w:val="Corpsdetexte21"/>
              <w:numPr>
                <w:ilvl w:val="0"/>
                <w:numId w:val="2"/>
              </w:numPr>
              <w:spacing w:after="120"/>
              <w:jc w:val="left"/>
              <w:rPr>
                <w:rFonts w:ascii="Arial" w:hAnsi="Arial" w:cs="Arial"/>
                <w:color w:val="000000"/>
                <w:sz w:val="20"/>
                <w:szCs w:val="20"/>
              </w:rPr>
            </w:pPr>
            <w:r w:rsidRPr="00591042">
              <w:rPr>
                <w:rFonts w:ascii="Arial" w:hAnsi="Arial" w:cs="Arial"/>
                <w:color w:val="000000"/>
                <w:sz w:val="20"/>
                <w:szCs w:val="20"/>
              </w:rPr>
              <w:t>Ecrire le PPSPR : octobre / novembre 2014</w:t>
            </w:r>
          </w:p>
          <w:p w:rsidR="004D4B90" w:rsidRPr="00591042" w:rsidRDefault="004D4B90" w:rsidP="004D4B90">
            <w:pPr>
              <w:pStyle w:val="Corpsdetexte21"/>
              <w:numPr>
                <w:ilvl w:val="0"/>
                <w:numId w:val="2"/>
              </w:numPr>
              <w:spacing w:after="120"/>
              <w:jc w:val="left"/>
              <w:rPr>
                <w:rFonts w:ascii="Arial" w:hAnsi="Arial" w:cs="Arial"/>
                <w:color w:val="000000"/>
                <w:sz w:val="20"/>
                <w:szCs w:val="20"/>
              </w:rPr>
            </w:pPr>
            <w:r w:rsidRPr="00591042">
              <w:rPr>
                <w:rFonts w:ascii="Arial" w:hAnsi="Arial" w:cs="Arial"/>
                <w:color w:val="000000"/>
                <w:sz w:val="20"/>
                <w:szCs w:val="20"/>
              </w:rPr>
              <w:t>Recueillir l’avis du Conseil scientifique de SAOME sur la fiabilité scientifique de la production : novembre 2014</w:t>
            </w:r>
          </w:p>
          <w:p w:rsidR="004D4B90" w:rsidRPr="00591042" w:rsidRDefault="004D4B90" w:rsidP="004D4B90">
            <w:pPr>
              <w:pStyle w:val="Corpsdetexte21"/>
              <w:numPr>
                <w:ilvl w:val="0"/>
                <w:numId w:val="2"/>
              </w:numPr>
              <w:spacing w:after="120"/>
              <w:jc w:val="left"/>
              <w:rPr>
                <w:rFonts w:ascii="Arial" w:hAnsi="Arial" w:cs="Arial"/>
                <w:color w:val="000000"/>
                <w:sz w:val="20"/>
                <w:szCs w:val="20"/>
              </w:rPr>
            </w:pPr>
            <w:r w:rsidRPr="00591042">
              <w:rPr>
                <w:rFonts w:ascii="Arial" w:hAnsi="Arial" w:cs="Arial"/>
                <w:color w:val="000000"/>
                <w:sz w:val="20"/>
                <w:szCs w:val="20"/>
              </w:rPr>
              <w:t>Expérimenter ledit protocole en officine et l’évaluer : 1</w:t>
            </w:r>
            <w:r w:rsidRPr="00591042">
              <w:rPr>
                <w:rFonts w:ascii="Arial" w:hAnsi="Arial" w:cs="Arial"/>
                <w:color w:val="000000"/>
                <w:sz w:val="20"/>
                <w:szCs w:val="20"/>
                <w:vertAlign w:val="superscript"/>
              </w:rPr>
              <w:t>er</w:t>
            </w:r>
            <w:r w:rsidRPr="00591042">
              <w:rPr>
                <w:rFonts w:ascii="Arial" w:hAnsi="Arial" w:cs="Arial"/>
                <w:color w:val="000000"/>
                <w:sz w:val="20"/>
                <w:szCs w:val="20"/>
              </w:rPr>
              <w:t xml:space="preserve"> semestre 2015</w:t>
            </w:r>
          </w:p>
          <w:p w:rsidR="004D4B90" w:rsidRPr="00591042" w:rsidRDefault="004D4B90" w:rsidP="004D4B90">
            <w:pPr>
              <w:pStyle w:val="Corpsdetexte21"/>
              <w:numPr>
                <w:ilvl w:val="0"/>
                <w:numId w:val="2"/>
              </w:numPr>
              <w:spacing w:after="120"/>
              <w:jc w:val="left"/>
              <w:rPr>
                <w:rFonts w:ascii="Arial" w:hAnsi="Arial" w:cs="Arial"/>
                <w:color w:val="000000"/>
                <w:sz w:val="20"/>
                <w:szCs w:val="20"/>
              </w:rPr>
            </w:pPr>
            <w:r w:rsidRPr="00591042">
              <w:rPr>
                <w:rFonts w:ascii="Arial" w:hAnsi="Arial" w:cs="Arial"/>
                <w:color w:val="000000"/>
                <w:sz w:val="20"/>
                <w:szCs w:val="20"/>
              </w:rPr>
              <w:t>Présenter les conclusions de l’expérimentation à l’ARS OI : mi 2015</w:t>
            </w:r>
          </w:p>
          <w:p w:rsidR="004D4B90" w:rsidRPr="00591042" w:rsidRDefault="004D4B90" w:rsidP="004D4B90">
            <w:pPr>
              <w:pStyle w:val="Corpsdetexte21"/>
              <w:numPr>
                <w:ilvl w:val="0"/>
                <w:numId w:val="2"/>
              </w:numPr>
              <w:spacing w:after="120"/>
              <w:jc w:val="left"/>
              <w:rPr>
                <w:rFonts w:ascii="Arial" w:hAnsi="Arial" w:cs="Arial"/>
                <w:color w:val="000000"/>
                <w:sz w:val="20"/>
                <w:szCs w:val="20"/>
              </w:rPr>
            </w:pPr>
            <w:r w:rsidRPr="00591042">
              <w:rPr>
                <w:rFonts w:ascii="Arial" w:hAnsi="Arial" w:cs="Arial"/>
                <w:color w:val="000000"/>
                <w:sz w:val="20"/>
                <w:szCs w:val="20"/>
              </w:rPr>
              <w:t>Etablir un plan de généralisation / diffusion du protocole : 2</w:t>
            </w:r>
            <w:r w:rsidRPr="00591042">
              <w:rPr>
                <w:rFonts w:ascii="Arial" w:hAnsi="Arial" w:cs="Arial"/>
                <w:color w:val="000000"/>
                <w:sz w:val="20"/>
                <w:szCs w:val="20"/>
                <w:vertAlign w:val="superscript"/>
              </w:rPr>
              <w:t>e</w:t>
            </w:r>
            <w:r w:rsidRPr="00591042">
              <w:rPr>
                <w:rFonts w:ascii="Arial" w:hAnsi="Arial" w:cs="Arial"/>
                <w:color w:val="000000"/>
                <w:sz w:val="20"/>
                <w:szCs w:val="20"/>
              </w:rPr>
              <w:t xml:space="preserve"> semestre 2015</w:t>
            </w:r>
          </w:p>
          <w:p w:rsidR="004D4B90" w:rsidRPr="00591042" w:rsidRDefault="004D4B90" w:rsidP="004D4B90">
            <w:pPr>
              <w:pStyle w:val="Corpsdetexte21"/>
              <w:numPr>
                <w:ilvl w:val="0"/>
                <w:numId w:val="2"/>
              </w:numPr>
              <w:spacing w:after="120"/>
              <w:jc w:val="left"/>
              <w:rPr>
                <w:rFonts w:ascii="Arial" w:hAnsi="Arial" w:cs="Arial"/>
                <w:color w:val="000000"/>
                <w:sz w:val="20"/>
                <w:szCs w:val="20"/>
              </w:rPr>
            </w:pPr>
            <w:r w:rsidRPr="00591042">
              <w:rPr>
                <w:rFonts w:ascii="Arial" w:hAnsi="Arial" w:cs="Arial"/>
                <w:color w:val="000000"/>
                <w:sz w:val="20"/>
                <w:szCs w:val="20"/>
              </w:rPr>
              <w:t>Doter les pharmaciens des outils et formation idoines : 2</w:t>
            </w:r>
            <w:r w:rsidRPr="00591042">
              <w:rPr>
                <w:rFonts w:ascii="Arial" w:hAnsi="Arial" w:cs="Arial"/>
                <w:color w:val="000000"/>
                <w:sz w:val="20"/>
                <w:szCs w:val="20"/>
                <w:vertAlign w:val="superscript"/>
              </w:rPr>
              <w:t>e</w:t>
            </w:r>
            <w:r w:rsidRPr="00591042">
              <w:rPr>
                <w:rFonts w:ascii="Arial" w:hAnsi="Arial" w:cs="Arial"/>
                <w:color w:val="000000"/>
                <w:sz w:val="20"/>
                <w:szCs w:val="20"/>
              </w:rPr>
              <w:t xml:space="preserve"> semestre 2015</w:t>
            </w:r>
          </w:p>
          <w:p w:rsidR="004D4B90" w:rsidRPr="00591042" w:rsidRDefault="004D4B90" w:rsidP="004D4B90">
            <w:pPr>
              <w:pStyle w:val="Corpsdetexte21"/>
              <w:numPr>
                <w:ilvl w:val="0"/>
                <w:numId w:val="2"/>
              </w:numPr>
              <w:spacing w:after="120"/>
              <w:jc w:val="left"/>
              <w:rPr>
                <w:rFonts w:ascii="Arial" w:hAnsi="Arial" w:cs="Arial"/>
                <w:color w:val="000000"/>
                <w:sz w:val="20"/>
                <w:szCs w:val="20"/>
              </w:rPr>
            </w:pPr>
            <w:r w:rsidRPr="00591042">
              <w:rPr>
                <w:rFonts w:ascii="Arial" w:hAnsi="Arial" w:cs="Arial"/>
                <w:color w:val="000000"/>
                <w:sz w:val="20"/>
                <w:szCs w:val="20"/>
              </w:rPr>
              <w:t>Communiquer sur le service proposé : 2</w:t>
            </w:r>
            <w:r w:rsidRPr="00591042">
              <w:rPr>
                <w:rFonts w:ascii="Arial" w:hAnsi="Arial" w:cs="Arial"/>
                <w:color w:val="000000"/>
                <w:sz w:val="20"/>
                <w:szCs w:val="20"/>
                <w:vertAlign w:val="superscript"/>
              </w:rPr>
              <w:t>e</w:t>
            </w:r>
            <w:r w:rsidRPr="00591042">
              <w:rPr>
                <w:rFonts w:ascii="Arial" w:hAnsi="Arial" w:cs="Arial"/>
                <w:color w:val="000000"/>
                <w:sz w:val="20"/>
                <w:szCs w:val="20"/>
              </w:rPr>
              <w:t xml:space="preserve"> semestre 2015</w:t>
            </w:r>
          </w:p>
          <w:p w:rsidR="004D4B90" w:rsidRPr="00FC1590" w:rsidRDefault="004D4B90" w:rsidP="004D4B90">
            <w:pPr>
              <w:pStyle w:val="Corpsdetexte21"/>
              <w:numPr>
                <w:ilvl w:val="0"/>
                <w:numId w:val="2"/>
              </w:numPr>
              <w:spacing w:after="120"/>
              <w:jc w:val="left"/>
              <w:rPr>
                <w:rFonts w:ascii="Arial" w:hAnsi="Arial" w:cs="Arial"/>
                <w:color w:val="000000"/>
                <w:szCs w:val="20"/>
              </w:rPr>
            </w:pPr>
            <w:r w:rsidRPr="00591042">
              <w:rPr>
                <w:rFonts w:ascii="Arial" w:hAnsi="Arial" w:cs="Arial"/>
                <w:color w:val="000000"/>
                <w:sz w:val="20"/>
                <w:szCs w:val="20"/>
              </w:rPr>
              <w:t>Travailler sur des aspects réglementaires et financiers allant dans le sens d’un accès facilité aux Traitements de substitution nicotiniques dans le cadre du protocole : 2</w:t>
            </w:r>
            <w:r w:rsidRPr="00591042">
              <w:rPr>
                <w:rFonts w:ascii="Arial" w:hAnsi="Arial" w:cs="Arial"/>
                <w:color w:val="000000"/>
                <w:sz w:val="20"/>
                <w:szCs w:val="20"/>
                <w:vertAlign w:val="superscript"/>
              </w:rPr>
              <w:t>e</w:t>
            </w:r>
            <w:r w:rsidRPr="00591042">
              <w:rPr>
                <w:rFonts w:ascii="Arial" w:hAnsi="Arial" w:cs="Arial"/>
                <w:color w:val="000000"/>
                <w:sz w:val="20"/>
                <w:szCs w:val="20"/>
              </w:rPr>
              <w:t xml:space="preserve"> semestre 2015</w:t>
            </w:r>
          </w:p>
        </w:tc>
      </w:tr>
    </w:tbl>
    <w:p w:rsidR="00320C26" w:rsidRDefault="004D4B90" w:rsidP="004D4B90">
      <w:pPr>
        <w:tabs>
          <w:tab w:val="left" w:pos="7005"/>
        </w:tabs>
      </w:pPr>
    </w:p>
    <w:sectPr w:rsidR="00320C26" w:rsidSect="004D4B90">
      <w:headerReference w:type="default" r:id="rId7"/>
      <w:footerReference w:type="default" r:id="rId8"/>
      <w:pgSz w:w="11906" w:h="16838"/>
      <w:pgMar w:top="864" w:right="849" w:bottom="1417" w:left="709"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B90" w:rsidRDefault="004D4B90" w:rsidP="004D4B90">
      <w:r>
        <w:separator/>
      </w:r>
    </w:p>
  </w:endnote>
  <w:endnote w:type="continuationSeparator" w:id="0">
    <w:p w:rsidR="004D4B90" w:rsidRDefault="004D4B90" w:rsidP="004D4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541" w:rsidRDefault="004D4B90" w:rsidP="005A1541">
    <w:pPr>
      <w:pStyle w:val="Pieddepage"/>
      <w:ind w:left="-709"/>
    </w:pPr>
    <w:r>
      <w:rPr>
        <w:noProof/>
        <w:lang w:eastAsia="fr-FR"/>
      </w:rPr>
      <w:drawing>
        <wp:inline distT="0" distB="0" distL="0" distR="0" wp14:anchorId="0A7BD86F" wp14:editId="4C2ADA8A">
          <wp:extent cx="7553325" cy="1590675"/>
          <wp:effectExtent l="0" t="0" r="9525" b="952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ed de page.jpg"/>
                  <pic:cNvPicPr/>
                </pic:nvPicPr>
                <pic:blipFill>
                  <a:blip r:embed="rId1">
                    <a:extLst>
                      <a:ext uri="{28A0092B-C50C-407E-A947-70E740481C1C}">
                        <a14:useLocalDpi xmlns:a14="http://schemas.microsoft.com/office/drawing/2010/main" val="0"/>
                      </a:ext>
                    </a:extLst>
                  </a:blip>
                  <a:stretch>
                    <a:fillRect/>
                  </a:stretch>
                </pic:blipFill>
                <pic:spPr>
                  <a:xfrm>
                    <a:off x="0" y="0"/>
                    <a:ext cx="7553325" cy="159067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B90" w:rsidRDefault="004D4B90" w:rsidP="004D4B90">
      <w:r>
        <w:separator/>
      </w:r>
    </w:p>
  </w:footnote>
  <w:footnote w:type="continuationSeparator" w:id="0">
    <w:p w:rsidR="004D4B90" w:rsidRDefault="004D4B90" w:rsidP="004D4B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541" w:rsidRDefault="004D4B90" w:rsidP="004D4B90">
    <w:pPr>
      <w:pStyle w:val="En-tte"/>
      <w:tabs>
        <w:tab w:val="clear" w:pos="9072"/>
        <w:tab w:val="right" w:pos="10489"/>
      </w:tabs>
      <w:ind w:left="-709"/>
    </w:pPr>
    <w:r>
      <w:rPr>
        <w:noProof/>
        <w:lang w:eastAsia="fr-FR"/>
      </w:rPr>
      <w:drawing>
        <wp:inline distT="0" distB="0" distL="0" distR="0" wp14:anchorId="21883539" wp14:editId="016E95F7">
          <wp:extent cx="4922196" cy="1551917"/>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deau pour entete.jpg"/>
                  <pic:cNvPicPr/>
                </pic:nvPicPr>
                <pic:blipFill>
                  <a:blip r:embed="rId1">
                    <a:extLst>
                      <a:ext uri="{28A0092B-C50C-407E-A947-70E740481C1C}">
                        <a14:useLocalDpi xmlns:a14="http://schemas.microsoft.com/office/drawing/2010/main" val="0"/>
                      </a:ext>
                    </a:extLst>
                  </a:blip>
                  <a:stretch>
                    <a:fillRect/>
                  </a:stretch>
                </pic:blipFill>
                <pic:spPr>
                  <a:xfrm>
                    <a:off x="0" y="0"/>
                    <a:ext cx="4991556" cy="1573786"/>
                  </a:xfrm>
                  <a:prstGeom prst="rect">
                    <a:avLst/>
                  </a:prstGeom>
                </pic:spPr>
              </pic:pic>
            </a:graphicData>
          </a:graphic>
        </wp:inline>
      </w:drawing>
    </w:r>
    <w:r w:rsidRPr="00635D17">
      <w:rPr>
        <w:noProof/>
      </w:rPr>
      <w:drawing>
        <wp:inline distT="0" distB="0" distL="0" distR="0" wp14:anchorId="51CC471A" wp14:editId="24D0997F">
          <wp:extent cx="2054217" cy="1243871"/>
          <wp:effectExtent l="0" t="0" r="3810" b="0"/>
          <wp:docPr id="9" name="Image 9" descr="C:\Users\CAROLE\Desktop\SA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OLE\Desktop\SAOM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73444" cy="1255513"/>
                  </a:xfrm>
                  <a:prstGeom prst="rect">
                    <a:avLst/>
                  </a:prstGeom>
                  <a:noFill/>
                  <a:ln>
                    <a:noFill/>
                  </a:ln>
                </pic:spPr>
              </pic:pic>
            </a:graphicData>
          </a:graphic>
        </wp:inline>
      </w:drawing>
    </w:r>
  </w:p>
  <w:p w:rsidR="005A1541" w:rsidRDefault="004D4B9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877040"/>
    <w:multiLevelType w:val="hybridMultilevel"/>
    <w:tmpl w:val="F9608E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A3C79CA"/>
    <w:multiLevelType w:val="hybridMultilevel"/>
    <w:tmpl w:val="EA880824"/>
    <w:lvl w:ilvl="0" w:tplc="5EC051B4">
      <w:start w:val="16"/>
      <w:numFmt w:val="bullet"/>
      <w:lvlText w:val="-"/>
      <w:lvlJc w:val="left"/>
      <w:pPr>
        <w:ind w:left="720" w:hanging="360"/>
      </w:pPr>
      <w:rPr>
        <w:rFonts w:ascii="Arial" w:eastAsia="MS Mincho"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B90"/>
    <w:rsid w:val="004D4B90"/>
    <w:rsid w:val="00861BBD"/>
    <w:rsid w:val="00EC795D"/>
    <w:rsid w:val="00FB6B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E27E02E-600E-4B3B-A164-9F8CA388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B90"/>
    <w:pPr>
      <w:spacing w:after="0" w:line="240" w:lineRule="auto"/>
    </w:pPr>
    <w:rPr>
      <w:rFonts w:ascii="Times New Roman" w:eastAsia="Times New Roman" w:hAnsi="Times New Roman" w:cs="Times New Roman"/>
      <w:sz w:val="24"/>
      <w:szCs w:val="24"/>
    </w:rPr>
  </w:style>
  <w:style w:type="paragraph" w:styleId="Titre3">
    <w:name w:val="heading 3"/>
    <w:basedOn w:val="Normal"/>
    <w:next w:val="Normal"/>
    <w:link w:val="Titre3Car"/>
    <w:uiPriority w:val="9"/>
    <w:unhideWhenUsed/>
    <w:qFormat/>
    <w:rsid w:val="004D4B90"/>
    <w:pPr>
      <w:keepNext/>
      <w:keepLines/>
      <w:suppressAutoHyphens/>
      <w:spacing w:before="80"/>
      <w:jc w:val="center"/>
      <w:outlineLvl w:val="2"/>
    </w:pPr>
    <w:rPr>
      <w:rFonts w:ascii="Arial" w:hAnsi="Arial"/>
      <w:b/>
      <w:bCs/>
      <w:color w:val="5B9BD5"/>
      <w:sz w:val="22"/>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4D4B90"/>
    <w:rPr>
      <w:rFonts w:ascii="Arial" w:eastAsia="Times New Roman" w:hAnsi="Arial" w:cs="Times New Roman"/>
      <w:b/>
      <w:bCs/>
      <w:color w:val="5B9BD5"/>
      <w:szCs w:val="24"/>
      <w:lang w:eastAsia="ar-SA"/>
    </w:rPr>
  </w:style>
  <w:style w:type="paragraph" w:styleId="En-tte">
    <w:name w:val="header"/>
    <w:basedOn w:val="Normal"/>
    <w:link w:val="En-tteCar"/>
    <w:uiPriority w:val="99"/>
    <w:unhideWhenUsed/>
    <w:rsid w:val="004D4B90"/>
    <w:pPr>
      <w:tabs>
        <w:tab w:val="center" w:pos="4536"/>
        <w:tab w:val="right" w:pos="9072"/>
      </w:tabs>
    </w:pPr>
  </w:style>
  <w:style w:type="character" w:customStyle="1" w:styleId="En-tteCar">
    <w:name w:val="En-tête Car"/>
    <w:basedOn w:val="Policepardfaut"/>
    <w:link w:val="En-tte"/>
    <w:uiPriority w:val="99"/>
    <w:rsid w:val="004D4B90"/>
    <w:rPr>
      <w:rFonts w:ascii="Times New Roman" w:eastAsia="Times New Roman" w:hAnsi="Times New Roman" w:cs="Times New Roman"/>
      <w:sz w:val="24"/>
      <w:szCs w:val="24"/>
    </w:rPr>
  </w:style>
  <w:style w:type="paragraph" w:styleId="Pieddepage">
    <w:name w:val="footer"/>
    <w:basedOn w:val="Normal"/>
    <w:link w:val="PieddepageCar"/>
    <w:uiPriority w:val="99"/>
    <w:unhideWhenUsed/>
    <w:rsid w:val="004D4B90"/>
    <w:pPr>
      <w:tabs>
        <w:tab w:val="center" w:pos="4536"/>
        <w:tab w:val="right" w:pos="9072"/>
      </w:tabs>
    </w:pPr>
  </w:style>
  <w:style w:type="character" w:customStyle="1" w:styleId="PieddepageCar">
    <w:name w:val="Pied de page Car"/>
    <w:basedOn w:val="Policepardfaut"/>
    <w:link w:val="Pieddepage"/>
    <w:uiPriority w:val="99"/>
    <w:rsid w:val="004D4B90"/>
    <w:rPr>
      <w:rFonts w:ascii="Times New Roman" w:eastAsia="Times New Roman" w:hAnsi="Times New Roman" w:cs="Times New Roman"/>
      <w:sz w:val="24"/>
      <w:szCs w:val="24"/>
    </w:rPr>
  </w:style>
  <w:style w:type="table" w:styleId="Grilledutableau">
    <w:name w:val="Table Grid"/>
    <w:basedOn w:val="TableauNormal"/>
    <w:uiPriority w:val="99"/>
    <w:rsid w:val="004D4B90"/>
    <w:pPr>
      <w:spacing w:after="0" w:line="240" w:lineRule="auto"/>
    </w:pPr>
    <w:rPr>
      <w:rFonts w:ascii="Cambria" w:eastAsia="Cambria" w:hAnsi="Cambria"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qFormat/>
    <w:rsid w:val="004D4B90"/>
    <w:pPr>
      <w:widowControl w:val="0"/>
      <w:suppressAutoHyphens/>
      <w:ind w:left="708"/>
    </w:pPr>
    <w:rPr>
      <w:rFonts w:eastAsia="SimSun" w:cs="Mangal"/>
      <w:kern w:val="1"/>
      <w:szCs w:val="21"/>
      <w:lang w:eastAsia="hi-IN" w:bidi="hi-IN"/>
    </w:rPr>
  </w:style>
  <w:style w:type="paragraph" w:customStyle="1" w:styleId="Corpsdetexte21">
    <w:name w:val="Corps de texte 21"/>
    <w:basedOn w:val="Normal"/>
    <w:rsid w:val="004D4B90"/>
    <w:pPr>
      <w:suppressAutoHyphens/>
      <w:jc w:val="both"/>
    </w:pPr>
    <w:rPr>
      <w:rFonts w:ascii="Calibri" w:hAnsi="Calibri"/>
      <w:sz w:val="22"/>
      <w:lang w:eastAsia="ar-SA"/>
    </w:rPr>
  </w:style>
  <w:style w:type="paragraph" w:styleId="NormalWeb">
    <w:name w:val="Normal (Web)"/>
    <w:basedOn w:val="Normal"/>
    <w:uiPriority w:val="99"/>
    <w:unhideWhenUsed/>
    <w:rsid w:val="004D4B90"/>
    <w:pPr>
      <w:spacing w:before="100" w:beforeAutospacing="1" w:after="100" w:afterAutospacing="1"/>
    </w:pPr>
    <w:rPr>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1672</Words>
  <Characters>9202</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blanchard</dc:creator>
  <cp:keywords/>
  <dc:description/>
  <cp:lastModifiedBy>carole blanchard</cp:lastModifiedBy>
  <cp:revision>1</cp:revision>
  <dcterms:created xsi:type="dcterms:W3CDTF">2014-10-06T09:37:00Z</dcterms:created>
  <dcterms:modified xsi:type="dcterms:W3CDTF">2014-10-06T09:47:00Z</dcterms:modified>
</cp:coreProperties>
</file>